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inorHAnsi" w:hAnsiTheme="minorHAnsi" w:eastAsiaTheme="minorEastAsia" w:cstheme="minorBidi"/>
          <w:color w:val="auto"/>
          <w:kern w:val="2"/>
          <w:sz w:val="21"/>
          <w:szCs w:val="22"/>
          <w:lang w:val="zh-CN"/>
        </w:rPr>
        <w:id w:val="-24724819"/>
        <w:docPartObj>
          <w:docPartGallery w:val="Table of Contents"/>
          <w:docPartUnique/>
        </w:docPartObj>
      </w:sdtPr>
      <w:sdtEndPr>
        <w:rPr>
          <w:rFonts w:ascii="Times New Roman" w:hAnsi="Times New Roman" w:eastAsia="宋体" w:cs="Times New Roman"/>
          <w:b/>
          <w:bCs/>
          <w:color w:val="auto"/>
          <w:kern w:val="2"/>
          <w:sz w:val="24"/>
          <w:szCs w:val="24"/>
          <w:lang w:val="zh-CN"/>
        </w:rPr>
      </w:sdtEndPr>
      <w:sdtContent>
        <w:p>
          <w:pPr>
            <w:pStyle w:val="49"/>
            <w:jc w:val="center"/>
            <w:rPr>
              <w:rFonts w:ascii="宋体" w:hAnsi="宋体" w:eastAsia="宋体"/>
              <w:color w:val="auto"/>
              <w:sz w:val="44"/>
              <w:szCs w:val="44"/>
            </w:rPr>
          </w:pPr>
          <w:r>
            <w:rPr>
              <w:rFonts w:ascii="宋体" w:hAnsi="宋体" w:eastAsia="宋体"/>
              <w:color w:val="auto"/>
              <w:sz w:val="44"/>
              <w:szCs w:val="44"/>
              <w:lang w:val="zh-CN"/>
            </w:rPr>
            <w:t>目录</w:t>
          </w:r>
        </w:p>
        <w:p>
          <w:pPr>
            <w:pStyle w:val="13"/>
            <w:tabs>
              <w:tab w:val="right" w:leader="dot" w:pos="8296"/>
            </w:tabs>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TOC \o "1-3" \h \z \u </w:instrText>
          </w:r>
          <w:r>
            <w:rPr>
              <w:rFonts w:ascii="Times New Roman" w:hAnsi="Times New Roman" w:eastAsia="宋体" w:cs="Times New Roman"/>
              <w:sz w:val="24"/>
              <w:szCs w:val="24"/>
            </w:rPr>
            <w:fldChar w:fldCharType="separate"/>
          </w:r>
          <w:r>
            <w:fldChar w:fldCharType="begin"/>
          </w:r>
          <w:r>
            <w:instrText xml:space="preserve"> HYPERLINK \l "_Toc8391513" </w:instrText>
          </w:r>
          <w:r>
            <w:fldChar w:fldCharType="separate"/>
          </w:r>
          <w:r>
            <w:rPr>
              <w:rStyle w:val="17"/>
              <w:rFonts w:ascii="Times New Roman" w:hAnsi="Times New Roman" w:eastAsia="宋体" w:cs="Times New Roman"/>
              <w:color w:val="auto"/>
              <w:sz w:val="24"/>
              <w:szCs w:val="24"/>
            </w:rPr>
            <w:t>1 前言</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_Toc8391513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"_Toc8391514" </w:instrText>
          </w:r>
          <w:r>
            <w:fldChar w:fldCharType="separate"/>
          </w:r>
          <w:r>
            <w:rPr>
              <w:rStyle w:val="17"/>
              <w:rFonts w:ascii="Times New Roman" w:hAnsi="Times New Roman" w:eastAsia="宋体" w:cs="Times New Roman"/>
              <w:color w:val="auto"/>
              <w:sz w:val="24"/>
              <w:szCs w:val="24"/>
            </w:rPr>
            <w:t>1.1 项目背景</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_Toc8391514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"_Toc8391515" </w:instrText>
          </w:r>
          <w:r>
            <w:fldChar w:fldCharType="separate"/>
          </w:r>
          <w:r>
            <w:rPr>
              <w:rStyle w:val="17"/>
              <w:rFonts w:ascii="Times New Roman" w:hAnsi="Times New Roman" w:eastAsia="宋体" w:cs="Times New Roman"/>
              <w:color w:val="auto"/>
              <w:sz w:val="24"/>
              <w:szCs w:val="24"/>
            </w:rPr>
            <w:t>1.2 项目环保手续履行情况</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_Toc8391515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"_Toc8391516" </w:instrText>
          </w:r>
          <w:r>
            <w:fldChar w:fldCharType="separate"/>
          </w:r>
          <w:r>
            <w:rPr>
              <w:rStyle w:val="17"/>
              <w:rFonts w:ascii="Times New Roman" w:hAnsi="Times New Roman" w:eastAsia="宋体" w:cs="Times New Roman"/>
              <w:color w:val="auto"/>
              <w:sz w:val="24"/>
              <w:szCs w:val="24"/>
            </w:rPr>
            <w:t>1.3 变更内容</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_Toc8391516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tabs>
              <w:tab w:val="right" w:leader="dot" w:pos="8296"/>
            </w:tabs>
            <w:rPr>
              <w:rFonts w:ascii="Times New Roman" w:hAnsi="Times New Roman" w:eastAsia="宋体" w:cs="Times New Roman"/>
              <w:sz w:val="24"/>
              <w:szCs w:val="24"/>
            </w:rPr>
          </w:pPr>
          <w:r>
            <w:fldChar w:fldCharType="begin"/>
          </w:r>
          <w:r>
            <w:instrText xml:space="preserve"> HYPERLINK \l "_Toc8391517" </w:instrText>
          </w:r>
          <w:r>
            <w:fldChar w:fldCharType="separate"/>
          </w:r>
          <w:r>
            <w:rPr>
              <w:rStyle w:val="17"/>
              <w:rFonts w:ascii="Times New Roman" w:hAnsi="Times New Roman" w:eastAsia="宋体" w:cs="Times New Roman"/>
              <w:color w:val="auto"/>
              <w:sz w:val="24"/>
              <w:szCs w:val="24"/>
            </w:rPr>
            <w:t>2 变更报告编制依据</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_Toc8391517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"_Toc8391518" </w:instrText>
          </w:r>
          <w:r>
            <w:fldChar w:fldCharType="separate"/>
          </w:r>
          <w:r>
            <w:rPr>
              <w:rStyle w:val="17"/>
              <w:rFonts w:ascii="Times New Roman" w:hAnsi="Times New Roman" w:eastAsia="宋体" w:cs="Times New Roman"/>
              <w:color w:val="auto"/>
              <w:sz w:val="24"/>
              <w:szCs w:val="24"/>
            </w:rPr>
            <w:t>2.1 编制依据</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_Toc8391518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"_Toc8391519" </w:instrText>
          </w:r>
          <w:r>
            <w:fldChar w:fldCharType="separate"/>
          </w:r>
          <w:r>
            <w:rPr>
              <w:rStyle w:val="17"/>
              <w:rFonts w:ascii="Times New Roman" w:hAnsi="Times New Roman" w:eastAsia="宋体" w:cs="Times New Roman"/>
              <w:snapToGrid w:val="0"/>
              <w:color w:val="auto"/>
              <w:sz w:val="24"/>
              <w:szCs w:val="24"/>
            </w:rPr>
            <w:t>2.1.1 国家法律法规及规范行文件</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_Toc8391519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"_Toc8391520" </w:instrText>
          </w:r>
          <w:r>
            <w:fldChar w:fldCharType="separate"/>
          </w:r>
          <w:r>
            <w:rPr>
              <w:rStyle w:val="17"/>
              <w:rFonts w:ascii="Times New Roman" w:hAnsi="Times New Roman" w:eastAsia="宋体" w:cs="Times New Roman"/>
              <w:color w:val="auto"/>
              <w:sz w:val="24"/>
              <w:szCs w:val="24"/>
            </w:rPr>
            <w:t>2.1.2 地方环保法律法规、政策</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_Toc8391520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"_Toc8391521" </w:instrText>
          </w:r>
          <w:r>
            <w:fldChar w:fldCharType="separate"/>
          </w:r>
          <w:r>
            <w:rPr>
              <w:rStyle w:val="17"/>
              <w:rFonts w:ascii="Times New Roman" w:hAnsi="Times New Roman" w:eastAsia="宋体" w:cs="Times New Roman"/>
              <w:color w:val="auto"/>
              <w:sz w:val="24"/>
              <w:szCs w:val="24"/>
            </w:rPr>
            <w:t>2.1.3 技术规范</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_Toc8391521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"_Toc8391522" </w:instrText>
          </w:r>
          <w:r>
            <w:fldChar w:fldCharType="separate"/>
          </w:r>
          <w:r>
            <w:rPr>
              <w:rStyle w:val="17"/>
              <w:rFonts w:ascii="Times New Roman" w:hAnsi="Times New Roman" w:eastAsia="宋体" w:cs="Times New Roman"/>
              <w:color w:val="auto"/>
              <w:sz w:val="24"/>
              <w:szCs w:val="24"/>
            </w:rPr>
            <w:t>2.1.4 项目技术资料</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_Toc8391522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"_Toc8391523" </w:instrText>
          </w:r>
          <w:r>
            <w:fldChar w:fldCharType="separate"/>
          </w:r>
          <w:r>
            <w:rPr>
              <w:rStyle w:val="17"/>
              <w:rFonts w:ascii="Times New Roman" w:hAnsi="Times New Roman" w:eastAsia="宋体" w:cs="Times New Roman"/>
              <w:color w:val="auto"/>
              <w:sz w:val="24"/>
              <w:szCs w:val="24"/>
            </w:rPr>
            <w:t>2.2 评价标准</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_Toc8391523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"_Toc8391524" </w:instrText>
          </w:r>
          <w:r>
            <w:fldChar w:fldCharType="separate"/>
          </w:r>
          <w:r>
            <w:rPr>
              <w:rStyle w:val="17"/>
              <w:rFonts w:ascii="Times New Roman" w:hAnsi="Times New Roman" w:eastAsia="宋体" w:cs="Times New Roman"/>
              <w:color w:val="auto"/>
              <w:sz w:val="24"/>
              <w:szCs w:val="24"/>
            </w:rPr>
            <w:t>2.2.1 环境质量标准</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_Toc8391524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"_Toc8391525" </w:instrText>
          </w:r>
          <w:r>
            <w:fldChar w:fldCharType="separate"/>
          </w:r>
          <w:r>
            <w:rPr>
              <w:rStyle w:val="17"/>
              <w:rFonts w:ascii="Times New Roman" w:hAnsi="Times New Roman" w:eastAsia="宋体" w:cs="Times New Roman"/>
              <w:color w:val="auto"/>
              <w:sz w:val="24"/>
              <w:szCs w:val="24"/>
            </w:rPr>
            <w:t>2.2.2 污染物控制标准</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_Toc8391525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"_Toc8391526" </w:instrText>
          </w:r>
          <w:r>
            <w:fldChar w:fldCharType="separate"/>
          </w:r>
          <w:r>
            <w:rPr>
              <w:rStyle w:val="17"/>
              <w:rFonts w:ascii="Times New Roman" w:hAnsi="Times New Roman" w:eastAsia="宋体" w:cs="Times New Roman"/>
              <w:color w:val="auto"/>
              <w:sz w:val="24"/>
              <w:szCs w:val="24"/>
            </w:rPr>
            <w:t>2.3 评价工作等级及评价范围</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_Toc8391526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"_Toc8391527" </w:instrText>
          </w:r>
          <w:r>
            <w:fldChar w:fldCharType="separate"/>
          </w:r>
          <w:r>
            <w:rPr>
              <w:rStyle w:val="17"/>
              <w:rFonts w:ascii="Times New Roman" w:hAnsi="Times New Roman" w:eastAsia="宋体" w:cs="Times New Roman"/>
              <w:color w:val="auto"/>
              <w:sz w:val="24"/>
              <w:szCs w:val="24"/>
            </w:rPr>
            <w:t>2.3.1 环境影响评价等级的划分</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_Toc8391527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"_Toc8391528" </w:instrText>
          </w:r>
          <w:r>
            <w:fldChar w:fldCharType="separate"/>
          </w:r>
          <w:r>
            <w:rPr>
              <w:rStyle w:val="17"/>
              <w:rFonts w:ascii="Times New Roman" w:hAnsi="Times New Roman" w:eastAsia="宋体" w:cs="Times New Roman"/>
              <w:color w:val="auto"/>
              <w:sz w:val="24"/>
              <w:szCs w:val="24"/>
            </w:rPr>
            <w:t>2.3.2 环境影响评价范围的确定</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_Toc8391528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"_Toc8391529" </w:instrText>
          </w:r>
          <w:r>
            <w:fldChar w:fldCharType="separate"/>
          </w:r>
          <w:r>
            <w:rPr>
              <w:rStyle w:val="17"/>
              <w:rFonts w:ascii="Times New Roman" w:hAnsi="Times New Roman" w:eastAsia="宋体" w:cs="Times New Roman"/>
              <w:color w:val="auto"/>
              <w:sz w:val="24"/>
              <w:szCs w:val="24"/>
            </w:rPr>
            <w:t>2.4 与产业政策相符性分析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_Toc8391529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tabs>
              <w:tab w:val="right" w:leader="dot" w:pos="8296"/>
            </w:tabs>
            <w:rPr>
              <w:rFonts w:ascii="Times New Roman" w:hAnsi="Times New Roman" w:eastAsia="宋体" w:cs="Times New Roman"/>
              <w:sz w:val="24"/>
              <w:szCs w:val="24"/>
            </w:rPr>
          </w:pPr>
          <w:r>
            <w:fldChar w:fldCharType="begin"/>
          </w:r>
          <w:r>
            <w:instrText xml:space="preserve"> HYPERLINK \l "_Toc8391530" </w:instrText>
          </w:r>
          <w:r>
            <w:fldChar w:fldCharType="separate"/>
          </w:r>
          <w:r>
            <w:rPr>
              <w:rStyle w:val="17"/>
              <w:rFonts w:ascii="Times New Roman" w:hAnsi="Times New Roman" w:eastAsia="宋体" w:cs="Times New Roman"/>
              <w:color w:val="auto"/>
              <w:sz w:val="24"/>
              <w:szCs w:val="24"/>
            </w:rPr>
            <w:t>3 工程分析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_Toc8391530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"_Toc8391531" </w:instrText>
          </w:r>
          <w:r>
            <w:fldChar w:fldCharType="separate"/>
          </w:r>
          <w:r>
            <w:rPr>
              <w:rStyle w:val="17"/>
              <w:rFonts w:ascii="Times New Roman" w:hAnsi="Times New Roman" w:eastAsia="宋体" w:cs="Times New Roman"/>
              <w:color w:val="auto"/>
              <w:sz w:val="24"/>
              <w:szCs w:val="24"/>
            </w:rPr>
            <w:t>3.1 工程概况</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_Toc8391531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"_Toc8391532" </w:instrText>
          </w:r>
          <w:r>
            <w:fldChar w:fldCharType="separate"/>
          </w:r>
          <w:r>
            <w:rPr>
              <w:rStyle w:val="17"/>
              <w:rFonts w:ascii="Times New Roman" w:hAnsi="Times New Roman" w:eastAsia="宋体" w:cs="Times New Roman"/>
              <w:color w:val="auto"/>
              <w:sz w:val="24"/>
              <w:szCs w:val="24"/>
            </w:rPr>
            <w:t>3.1.1 项目概况</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_Toc8391532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"_Toc8391533" </w:instrText>
          </w:r>
          <w:r>
            <w:fldChar w:fldCharType="separate"/>
          </w:r>
          <w:r>
            <w:rPr>
              <w:rStyle w:val="17"/>
              <w:rFonts w:ascii="Times New Roman" w:hAnsi="Times New Roman" w:eastAsia="宋体" w:cs="Times New Roman"/>
              <w:color w:val="auto"/>
              <w:sz w:val="24"/>
              <w:szCs w:val="24"/>
            </w:rPr>
            <w:t>3.1.2 本项目实际建设内容与原环评批复对比分析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_Toc8391533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"_Toc8391534" </w:instrText>
          </w:r>
          <w:r>
            <w:fldChar w:fldCharType="separate"/>
          </w:r>
          <w:r>
            <w:rPr>
              <w:rStyle w:val="17"/>
              <w:rFonts w:ascii="Times New Roman" w:hAnsi="Times New Roman" w:eastAsia="宋体" w:cs="Times New Roman"/>
              <w:color w:val="auto"/>
              <w:sz w:val="24"/>
              <w:szCs w:val="24"/>
            </w:rPr>
            <w:t>3.2 平面布置图</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_Toc8391534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"_Toc8391535" </w:instrText>
          </w:r>
          <w:r>
            <w:fldChar w:fldCharType="separate"/>
          </w:r>
          <w:r>
            <w:rPr>
              <w:rStyle w:val="17"/>
              <w:rFonts w:ascii="Times New Roman" w:hAnsi="Times New Roman" w:eastAsia="宋体" w:cs="Times New Roman"/>
              <w:color w:val="auto"/>
              <w:sz w:val="24"/>
              <w:szCs w:val="24"/>
            </w:rPr>
            <w:t>3.3 原辅材料与资源能源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_Toc8391535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"_Toc8391536" </w:instrText>
          </w:r>
          <w:r>
            <w:fldChar w:fldCharType="separate"/>
          </w:r>
          <w:r>
            <w:rPr>
              <w:rStyle w:val="17"/>
              <w:rFonts w:ascii="Times New Roman" w:hAnsi="Times New Roman" w:eastAsia="宋体" w:cs="Times New Roman"/>
              <w:color w:val="auto"/>
              <w:sz w:val="24"/>
              <w:szCs w:val="24"/>
            </w:rPr>
            <w:t>3.4 产品</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_Toc8391536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"_Toc8391537" </w:instrText>
          </w:r>
          <w:r>
            <w:fldChar w:fldCharType="separate"/>
          </w:r>
          <w:r>
            <w:rPr>
              <w:rStyle w:val="17"/>
              <w:rFonts w:ascii="Times New Roman" w:hAnsi="Times New Roman" w:eastAsia="宋体" w:cs="Times New Roman"/>
              <w:color w:val="auto"/>
              <w:sz w:val="24"/>
              <w:szCs w:val="24"/>
            </w:rPr>
            <w:t>3.5 主要生产设备</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_Toc8391537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"_Toc8391538" </w:instrText>
          </w:r>
          <w:r>
            <w:fldChar w:fldCharType="separate"/>
          </w:r>
          <w:r>
            <w:rPr>
              <w:rStyle w:val="17"/>
              <w:rFonts w:ascii="Times New Roman" w:hAnsi="Times New Roman" w:eastAsia="宋体" w:cs="Times New Roman"/>
              <w:color w:val="auto"/>
              <w:sz w:val="24"/>
              <w:szCs w:val="24"/>
            </w:rPr>
            <w:t>3.5.1 装置区生产设备</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_Toc8391538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"_Toc8391539" </w:instrText>
          </w:r>
          <w:r>
            <w:fldChar w:fldCharType="separate"/>
          </w:r>
          <w:r>
            <w:rPr>
              <w:rStyle w:val="17"/>
              <w:rFonts w:ascii="Times New Roman" w:hAnsi="Times New Roman" w:eastAsia="宋体" w:cs="Times New Roman"/>
              <w:color w:val="auto"/>
              <w:sz w:val="24"/>
              <w:szCs w:val="24"/>
            </w:rPr>
            <w:t>3.5.2 储罐区生产设备</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_Toc8391539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"_Toc8391540" </w:instrText>
          </w:r>
          <w:r>
            <w:fldChar w:fldCharType="separate"/>
          </w:r>
          <w:r>
            <w:rPr>
              <w:rStyle w:val="17"/>
              <w:rFonts w:ascii="Times New Roman" w:hAnsi="Times New Roman" w:eastAsia="宋体" w:cs="Times New Roman"/>
              <w:color w:val="auto"/>
              <w:sz w:val="24"/>
              <w:szCs w:val="24"/>
            </w:rPr>
            <w:t>3.6 主要工艺流程及产污环节分析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_Toc8391540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"_Toc8391541" </w:instrText>
          </w:r>
          <w:r>
            <w:fldChar w:fldCharType="separate"/>
          </w:r>
          <w:r>
            <w:rPr>
              <w:rStyle w:val="17"/>
              <w:rFonts w:ascii="Times New Roman" w:hAnsi="Times New Roman" w:eastAsia="宋体" w:cs="Times New Roman"/>
              <w:color w:val="auto"/>
              <w:sz w:val="24"/>
              <w:szCs w:val="24"/>
            </w:rPr>
            <w:t>3.6.1 工艺流程</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_Toc8391541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"_Toc8391542" </w:instrText>
          </w:r>
          <w:r>
            <w:fldChar w:fldCharType="separate"/>
          </w:r>
          <w:r>
            <w:rPr>
              <w:rStyle w:val="17"/>
              <w:rFonts w:ascii="Times New Roman" w:hAnsi="Times New Roman" w:eastAsia="宋体" w:cs="Times New Roman"/>
              <w:color w:val="auto"/>
              <w:sz w:val="24"/>
              <w:szCs w:val="24"/>
            </w:rPr>
            <w:t>3.6.2 产污环节</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_Toc8391542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"_Toc8391543" </w:instrText>
          </w:r>
          <w:r>
            <w:fldChar w:fldCharType="separate"/>
          </w:r>
          <w:r>
            <w:rPr>
              <w:rStyle w:val="17"/>
              <w:rFonts w:ascii="Times New Roman" w:hAnsi="Times New Roman" w:eastAsia="宋体" w:cs="Times New Roman"/>
              <w:color w:val="auto"/>
              <w:sz w:val="24"/>
              <w:szCs w:val="24"/>
            </w:rPr>
            <w:t>3.7 物料平衡</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_Toc8391543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"_Toc8391544" </w:instrText>
          </w:r>
          <w:r>
            <w:fldChar w:fldCharType="separate"/>
          </w:r>
          <w:r>
            <w:rPr>
              <w:rStyle w:val="17"/>
              <w:rFonts w:ascii="Times New Roman" w:hAnsi="Times New Roman" w:eastAsia="宋体" w:cs="Times New Roman"/>
              <w:color w:val="auto"/>
              <w:sz w:val="24"/>
              <w:szCs w:val="24"/>
            </w:rPr>
            <w:t>3.8 变更前后污染物排放情况分析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_Toc8391544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"_Toc8391545" </w:instrText>
          </w:r>
          <w:r>
            <w:fldChar w:fldCharType="separate"/>
          </w:r>
          <w:r>
            <w:rPr>
              <w:rStyle w:val="17"/>
              <w:rFonts w:ascii="Times New Roman" w:hAnsi="Times New Roman" w:eastAsia="宋体" w:cs="Times New Roman"/>
              <w:snapToGrid w:val="0"/>
              <w:color w:val="auto"/>
              <w:sz w:val="24"/>
              <w:szCs w:val="24"/>
            </w:rPr>
            <w:t>3.8.1 废气</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_Toc8391545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"_Toc8391546" </w:instrText>
          </w:r>
          <w:r>
            <w:fldChar w:fldCharType="separate"/>
          </w:r>
          <w:r>
            <w:rPr>
              <w:rStyle w:val="17"/>
              <w:rFonts w:ascii="Times New Roman" w:hAnsi="Times New Roman" w:eastAsia="宋体" w:cs="Times New Roman"/>
              <w:snapToGrid w:val="0"/>
              <w:color w:val="auto"/>
              <w:sz w:val="24"/>
              <w:szCs w:val="24"/>
            </w:rPr>
            <w:t>3.8.2 废水</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_Toc8391546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"_Toc8391547" </w:instrText>
          </w:r>
          <w:r>
            <w:fldChar w:fldCharType="separate"/>
          </w:r>
          <w:r>
            <w:rPr>
              <w:rStyle w:val="17"/>
              <w:rFonts w:ascii="Times New Roman" w:hAnsi="Times New Roman" w:eastAsia="宋体" w:cs="Times New Roman"/>
              <w:snapToGrid w:val="0"/>
              <w:color w:val="auto"/>
              <w:sz w:val="24"/>
              <w:szCs w:val="24"/>
            </w:rPr>
            <w:t>3.8.3 噪声</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_Toc8391547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"_Toc8391548" </w:instrText>
          </w:r>
          <w:r>
            <w:fldChar w:fldCharType="separate"/>
          </w:r>
          <w:r>
            <w:rPr>
              <w:rStyle w:val="17"/>
              <w:rFonts w:ascii="Times New Roman" w:hAnsi="Times New Roman" w:eastAsia="宋体" w:cs="Times New Roman"/>
              <w:snapToGrid w:val="0"/>
              <w:color w:val="auto"/>
              <w:sz w:val="24"/>
              <w:szCs w:val="24"/>
            </w:rPr>
            <w:t>3.8.4 固体废物</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_Toc8391548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"_Toc8391549" </w:instrText>
          </w:r>
          <w:r>
            <w:fldChar w:fldCharType="separate"/>
          </w:r>
          <w:r>
            <w:rPr>
              <w:rStyle w:val="17"/>
              <w:rFonts w:ascii="Times New Roman" w:hAnsi="Times New Roman" w:eastAsia="宋体" w:cs="Times New Roman"/>
              <w:color w:val="auto"/>
              <w:sz w:val="24"/>
              <w:szCs w:val="24"/>
            </w:rPr>
            <w:t>3.9 变更前后污染物变化情况</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_Toc8391549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"_Toc8391550" </w:instrText>
          </w:r>
          <w:r>
            <w:fldChar w:fldCharType="separate"/>
          </w:r>
          <w:r>
            <w:rPr>
              <w:rStyle w:val="17"/>
              <w:rFonts w:ascii="Times New Roman" w:hAnsi="Times New Roman" w:eastAsia="宋体" w:cs="Times New Roman"/>
              <w:color w:val="auto"/>
              <w:sz w:val="24"/>
              <w:szCs w:val="24"/>
            </w:rPr>
            <w:t>3.10 污染物排放量变化“三本账”</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_Toc8391550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tabs>
              <w:tab w:val="right" w:leader="dot" w:pos="8296"/>
            </w:tabs>
            <w:rPr>
              <w:rFonts w:ascii="Times New Roman" w:hAnsi="Times New Roman" w:eastAsia="宋体" w:cs="Times New Roman"/>
              <w:sz w:val="24"/>
              <w:szCs w:val="24"/>
            </w:rPr>
          </w:pPr>
          <w:r>
            <w:fldChar w:fldCharType="begin"/>
          </w:r>
          <w:r>
            <w:instrText xml:space="preserve"> HYPERLINK \l "_Toc8391551" </w:instrText>
          </w:r>
          <w:r>
            <w:fldChar w:fldCharType="separate"/>
          </w:r>
          <w:r>
            <w:rPr>
              <w:rStyle w:val="17"/>
              <w:rFonts w:ascii="Times New Roman" w:hAnsi="Times New Roman" w:eastAsia="宋体" w:cs="Times New Roman"/>
              <w:color w:val="auto"/>
              <w:sz w:val="24"/>
              <w:szCs w:val="24"/>
            </w:rPr>
            <w:t>4 变更后环境影响分析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_Toc8391551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"_Toc8391552" </w:instrText>
          </w:r>
          <w:r>
            <w:fldChar w:fldCharType="separate"/>
          </w:r>
          <w:r>
            <w:rPr>
              <w:rStyle w:val="17"/>
              <w:rFonts w:ascii="Times New Roman" w:hAnsi="Times New Roman" w:eastAsia="宋体" w:cs="Times New Roman"/>
              <w:color w:val="auto"/>
              <w:sz w:val="24"/>
              <w:szCs w:val="24"/>
            </w:rPr>
            <w:t>4.1 环境空气影响分析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_Toc8391552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"_Toc8391553" </w:instrText>
          </w:r>
          <w:r>
            <w:fldChar w:fldCharType="separate"/>
          </w:r>
          <w:r>
            <w:rPr>
              <w:rStyle w:val="17"/>
              <w:rFonts w:ascii="Times New Roman" w:hAnsi="Times New Roman" w:eastAsia="宋体" w:cs="Times New Roman"/>
              <w:snapToGrid w:val="0"/>
              <w:color w:val="auto"/>
              <w:sz w:val="24"/>
              <w:szCs w:val="24"/>
            </w:rPr>
            <w:t>4.1.1预测模式</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_Toc8391553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"_Toc8391554" </w:instrText>
          </w:r>
          <w:r>
            <w:fldChar w:fldCharType="separate"/>
          </w:r>
          <w:r>
            <w:rPr>
              <w:rStyle w:val="17"/>
              <w:rFonts w:ascii="Times New Roman" w:hAnsi="Times New Roman" w:eastAsia="宋体" w:cs="Times New Roman"/>
              <w:snapToGrid w:val="0"/>
              <w:color w:val="auto"/>
              <w:sz w:val="24"/>
              <w:szCs w:val="24"/>
            </w:rPr>
            <w:t>4.1.2模式参数选择</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_Toc8391554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"_Toc8391555" </w:instrText>
          </w:r>
          <w:r>
            <w:fldChar w:fldCharType="separate"/>
          </w:r>
          <w:r>
            <w:rPr>
              <w:rStyle w:val="17"/>
              <w:rFonts w:ascii="Times New Roman" w:hAnsi="Times New Roman" w:eastAsia="宋体" w:cs="Times New Roman"/>
              <w:snapToGrid w:val="0"/>
              <w:color w:val="auto"/>
              <w:sz w:val="24"/>
              <w:szCs w:val="24"/>
            </w:rPr>
            <w:t>4.1.3预测因子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_Toc8391555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"_Toc8391556" </w:instrText>
          </w:r>
          <w:r>
            <w:fldChar w:fldCharType="separate"/>
          </w:r>
          <w:r>
            <w:rPr>
              <w:rStyle w:val="17"/>
              <w:rFonts w:ascii="Times New Roman" w:hAnsi="Times New Roman" w:eastAsia="宋体" w:cs="Times New Roman"/>
              <w:snapToGrid w:val="0"/>
              <w:color w:val="auto"/>
              <w:sz w:val="24"/>
              <w:szCs w:val="24"/>
            </w:rPr>
            <w:t>4.1.4污染源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_Toc8391556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"_Toc8391557" </w:instrText>
          </w:r>
          <w:r>
            <w:fldChar w:fldCharType="separate"/>
          </w:r>
          <w:r>
            <w:rPr>
              <w:rStyle w:val="17"/>
              <w:rFonts w:ascii="Times New Roman" w:hAnsi="Times New Roman" w:eastAsia="宋体" w:cs="Times New Roman"/>
              <w:snapToGrid w:val="0"/>
              <w:color w:val="auto"/>
              <w:sz w:val="24"/>
              <w:szCs w:val="24"/>
            </w:rPr>
            <w:t>4.1.5预测范围</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_Toc8391557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60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"_Toc8391558" </w:instrText>
          </w:r>
          <w:r>
            <w:fldChar w:fldCharType="separate"/>
          </w:r>
          <w:r>
            <w:rPr>
              <w:rStyle w:val="17"/>
              <w:rFonts w:ascii="Times New Roman" w:hAnsi="Times New Roman" w:eastAsia="宋体" w:cs="Times New Roman"/>
              <w:snapToGrid w:val="0"/>
              <w:color w:val="auto"/>
              <w:sz w:val="24"/>
              <w:szCs w:val="24"/>
            </w:rPr>
            <w:t>4.1.6计算点</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_Toc8391558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60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"_Toc8391559" </w:instrText>
          </w:r>
          <w:r>
            <w:fldChar w:fldCharType="separate"/>
          </w:r>
          <w:r>
            <w:rPr>
              <w:rStyle w:val="17"/>
              <w:rFonts w:ascii="Times New Roman" w:hAnsi="Times New Roman" w:eastAsia="宋体" w:cs="Times New Roman"/>
              <w:snapToGrid w:val="0"/>
              <w:color w:val="auto"/>
              <w:sz w:val="24"/>
              <w:szCs w:val="24"/>
            </w:rPr>
            <w:t>4.1.7预测内容</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_Toc8391559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61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"_Toc8391560" </w:instrText>
          </w:r>
          <w:r>
            <w:fldChar w:fldCharType="separate"/>
          </w:r>
          <w:r>
            <w:rPr>
              <w:rStyle w:val="17"/>
              <w:rFonts w:ascii="Times New Roman" w:hAnsi="Times New Roman" w:eastAsia="宋体" w:cs="Times New Roman"/>
              <w:snapToGrid w:val="0"/>
              <w:color w:val="auto"/>
              <w:sz w:val="24"/>
              <w:szCs w:val="24"/>
            </w:rPr>
            <w:t>4.1.8预测结果及分析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_Toc8391560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62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"_Toc8391561" </w:instrText>
          </w:r>
          <w:r>
            <w:fldChar w:fldCharType="separate"/>
          </w:r>
          <w:r>
            <w:rPr>
              <w:rStyle w:val="17"/>
              <w:rFonts w:ascii="Times New Roman" w:hAnsi="Times New Roman" w:eastAsia="宋体" w:cs="Times New Roman"/>
              <w:color w:val="auto"/>
              <w:sz w:val="24"/>
              <w:szCs w:val="24"/>
            </w:rPr>
            <w:t>4.1.9大气环境影响预测小结</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_Toc8391561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70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"_Toc8391562" </w:instrText>
          </w:r>
          <w:r>
            <w:fldChar w:fldCharType="separate"/>
          </w:r>
          <w:r>
            <w:rPr>
              <w:rStyle w:val="17"/>
              <w:rFonts w:ascii="Times New Roman" w:hAnsi="Times New Roman" w:eastAsia="宋体" w:cs="Times New Roman"/>
              <w:color w:val="auto"/>
              <w:sz w:val="24"/>
              <w:szCs w:val="24"/>
            </w:rPr>
            <w:t>4.2 水环境影响分析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_Toc8391562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70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"_Toc8391563" </w:instrText>
          </w:r>
          <w:r>
            <w:fldChar w:fldCharType="separate"/>
          </w:r>
          <w:r>
            <w:rPr>
              <w:rStyle w:val="17"/>
              <w:rFonts w:ascii="Times New Roman" w:hAnsi="Times New Roman" w:eastAsia="宋体" w:cs="Times New Roman"/>
              <w:color w:val="auto"/>
              <w:sz w:val="24"/>
              <w:szCs w:val="24"/>
            </w:rPr>
            <w:t>4.2.1 地表水</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_Toc8391563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70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"_Toc8391564" </w:instrText>
          </w:r>
          <w:r>
            <w:fldChar w:fldCharType="separate"/>
          </w:r>
          <w:r>
            <w:rPr>
              <w:rStyle w:val="17"/>
              <w:rFonts w:ascii="Times New Roman" w:hAnsi="Times New Roman" w:eastAsia="宋体" w:cs="Times New Roman"/>
              <w:color w:val="auto"/>
              <w:sz w:val="24"/>
              <w:szCs w:val="24"/>
            </w:rPr>
            <w:t>4.2.2 地下水</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_Toc8391564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71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"_Toc8391565" </w:instrText>
          </w:r>
          <w:r>
            <w:fldChar w:fldCharType="separate"/>
          </w:r>
          <w:r>
            <w:rPr>
              <w:rStyle w:val="17"/>
              <w:rFonts w:ascii="Times New Roman" w:hAnsi="Times New Roman" w:eastAsia="宋体" w:cs="Times New Roman"/>
              <w:color w:val="auto"/>
              <w:sz w:val="24"/>
              <w:szCs w:val="24"/>
            </w:rPr>
            <w:t>4.3 噪声影响分析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_Toc8391565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71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"_Toc8391566" </w:instrText>
          </w:r>
          <w:r>
            <w:fldChar w:fldCharType="separate"/>
          </w:r>
          <w:r>
            <w:rPr>
              <w:rStyle w:val="17"/>
              <w:rFonts w:ascii="Times New Roman" w:hAnsi="Times New Roman" w:eastAsia="宋体" w:cs="Times New Roman"/>
              <w:color w:val="auto"/>
              <w:sz w:val="24"/>
              <w:szCs w:val="24"/>
            </w:rPr>
            <w:t>4.4 固废环境影响分析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_Toc8391566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72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tabs>
              <w:tab w:val="right" w:leader="dot" w:pos="8296"/>
            </w:tabs>
            <w:rPr>
              <w:rFonts w:ascii="Times New Roman" w:hAnsi="Times New Roman" w:eastAsia="宋体" w:cs="Times New Roman"/>
              <w:sz w:val="24"/>
              <w:szCs w:val="24"/>
            </w:rPr>
          </w:pPr>
          <w:r>
            <w:fldChar w:fldCharType="begin"/>
          </w:r>
          <w:r>
            <w:instrText xml:space="preserve"> HYPERLINK \l "_Toc8391567" </w:instrText>
          </w:r>
          <w:r>
            <w:fldChar w:fldCharType="separate"/>
          </w:r>
          <w:r>
            <w:rPr>
              <w:rStyle w:val="17"/>
              <w:rFonts w:ascii="Times New Roman" w:hAnsi="Times New Roman" w:eastAsia="宋体" w:cs="Times New Roman"/>
              <w:color w:val="auto"/>
              <w:sz w:val="24"/>
              <w:szCs w:val="24"/>
            </w:rPr>
            <w:t>5 环境保护措施及可行性论证</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_Toc8391567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73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"_Toc8391568" </w:instrText>
          </w:r>
          <w:r>
            <w:fldChar w:fldCharType="separate"/>
          </w:r>
          <w:r>
            <w:rPr>
              <w:rStyle w:val="17"/>
              <w:rFonts w:ascii="Times New Roman" w:hAnsi="Times New Roman" w:eastAsia="宋体" w:cs="Times New Roman"/>
              <w:color w:val="auto"/>
              <w:sz w:val="24"/>
              <w:szCs w:val="24"/>
            </w:rPr>
            <w:t>5.1废气污染防治措施</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_Toc8391568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73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"_Toc8391569" </w:instrText>
          </w:r>
          <w:r>
            <w:fldChar w:fldCharType="separate"/>
          </w:r>
          <w:r>
            <w:rPr>
              <w:rStyle w:val="17"/>
              <w:rFonts w:ascii="Times New Roman" w:hAnsi="Times New Roman" w:eastAsia="宋体" w:cs="Times New Roman"/>
              <w:color w:val="auto"/>
              <w:sz w:val="24"/>
              <w:szCs w:val="24"/>
            </w:rPr>
            <w:t>5.1.1有组织废气污染防治措施</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_Toc8391569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73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"_Toc8391570" </w:instrText>
          </w:r>
          <w:r>
            <w:fldChar w:fldCharType="separate"/>
          </w:r>
          <w:r>
            <w:rPr>
              <w:rStyle w:val="17"/>
              <w:rFonts w:ascii="Times New Roman" w:hAnsi="Times New Roman" w:eastAsia="宋体" w:cs="Times New Roman"/>
              <w:color w:val="auto"/>
              <w:sz w:val="24"/>
              <w:szCs w:val="24"/>
            </w:rPr>
            <w:t>5.1.2无组织排放控制措施</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_Toc8391570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75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"_Toc8391571" </w:instrText>
          </w:r>
          <w:r>
            <w:fldChar w:fldCharType="separate"/>
          </w:r>
          <w:r>
            <w:rPr>
              <w:rStyle w:val="17"/>
              <w:rFonts w:ascii="Times New Roman" w:hAnsi="Times New Roman" w:eastAsia="宋体" w:cs="Times New Roman"/>
              <w:color w:val="auto"/>
              <w:sz w:val="24"/>
              <w:szCs w:val="24"/>
            </w:rPr>
            <w:t>5.2废水污染治理措施</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_Toc8391571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79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"_Toc8391572" </w:instrText>
          </w:r>
          <w:r>
            <w:fldChar w:fldCharType="separate"/>
          </w:r>
          <w:r>
            <w:rPr>
              <w:rStyle w:val="17"/>
              <w:rFonts w:ascii="Times New Roman" w:hAnsi="Times New Roman" w:eastAsia="宋体" w:cs="Times New Roman"/>
              <w:color w:val="auto"/>
              <w:sz w:val="24"/>
              <w:szCs w:val="24"/>
            </w:rPr>
            <w:t>5.2.1废水治理措施</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_Toc8391572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79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"_Toc8391573" </w:instrText>
          </w:r>
          <w:r>
            <w:fldChar w:fldCharType="separate"/>
          </w:r>
          <w:r>
            <w:rPr>
              <w:rStyle w:val="17"/>
              <w:rFonts w:ascii="Times New Roman" w:hAnsi="Times New Roman" w:eastAsia="宋体" w:cs="Times New Roman"/>
              <w:color w:val="auto"/>
              <w:sz w:val="24"/>
              <w:szCs w:val="24"/>
            </w:rPr>
            <w:t>5.2.2项目厂区污水处理站简介</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_Toc8391573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81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"_Toc8391574" </w:instrText>
          </w:r>
          <w:r>
            <w:fldChar w:fldCharType="separate"/>
          </w:r>
          <w:r>
            <w:rPr>
              <w:rStyle w:val="17"/>
              <w:rFonts w:ascii="Times New Roman" w:hAnsi="Times New Roman" w:eastAsia="宋体" w:cs="Times New Roman"/>
              <w:color w:val="auto"/>
              <w:sz w:val="24"/>
              <w:szCs w:val="24"/>
            </w:rPr>
            <w:t>5.2.3事故状态下废水治理措施</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_Toc8391574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84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"_Toc8391575" </w:instrText>
          </w:r>
          <w:r>
            <w:fldChar w:fldCharType="separate"/>
          </w:r>
          <w:r>
            <w:rPr>
              <w:rStyle w:val="17"/>
              <w:rFonts w:ascii="Times New Roman" w:hAnsi="Times New Roman" w:eastAsia="宋体" w:cs="Times New Roman"/>
              <w:color w:val="auto"/>
              <w:sz w:val="24"/>
              <w:szCs w:val="24"/>
            </w:rPr>
            <w:t>5.3噪声污染防治措施</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_Toc8391575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86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"_Toc8391576" </w:instrText>
          </w:r>
          <w:r>
            <w:fldChar w:fldCharType="separate"/>
          </w:r>
          <w:r>
            <w:rPr>
              <w:rStyle w:val="17"/>
              <w:rFonts w:ascii="Times New Roman" w:hAnsi="Times New Roman" w:eastAsia="宋体" w:cs="Times New Roman"/>
              <w:color w:val="auto"/>
              <w:sz w:val="24"/>
              <w:szCs w:val="24"/>
            </w:rPr>
            <w:t>5.4固体废物污染防治措施</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_Toc8391576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87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"_Toc8391577" </w:instrText>
          </w:r>
          <w:r>
            <w:fldChar w:fldCharType="separate"/>
          </w:r>
          <w:r>
            <w:rPr>
              <w:rStyle w:val="17"/>
              <w:rFonts w:ascii="Times New Roman" w:hAnsi="Times New Roman" w:eastAsia="宋体" w:cs="Times New Roman"/>
              <w:color w:val="auto"/>
              <w:sz w:val="24"/>
              <w:szCs w:val="24"/>
            </w:rPr>
            <w:t>5.4.1处理、处置方式</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_Toc8391577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87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"_Toc8391578" </w:instrText>
          </w:r>
          <w:r>
            <w:fldChar w:fldCharType="separate"/>
          </w:r>
          <w:r>
            <w:rPr>
              <w:rStyle w:val="17"/>
              <w:rFonts w:ascii="Times New Roman" w:hAnsi="Times New Roman" w:eastAsia="宋体" w:cs="Times New Roman"/>
              <w:color w:val="auto"/>
              <w:sz w:val="24"/>
              <w:szCs w:val="24"/>
            </w:rPr>
            <w:t>5.4.2危险废物贮存间的环保及管理要求</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_Toc8391578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88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"_Toc8391579" </w:instrText>
          </w:r>
          <w:r>
            <w:fldChar w:fldCharType="separate"/>
          </w:r>
          <w:r>
            <w:rPr>
              <w:rStyle w:val="17"/>
              <w:rFonts w:ascii="Times New Roman" w:hAnsi="Times New Roman" w:eastAsia="宋体" w:cs="Times New Roman"/>
              <w:color w:val="auto"/>
              <w:sz w:val="24"/>
              <w:szCs w:val="24"/>
            </w:rPr>
            <w:t>5.4.3危险废物转运的控制措施</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_Toc8391579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88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"_Toc8391580" </w:instrText>
          </w:r>
          <w:r>
            <w:fldChar w:fldCharType="separate"/>
          </w:r>
          <w:r>
            <w:rPr>
              <w:rStyle w:val="17"/>
              <w:rFonts w:ascii="Times New Roman" w:hAnsi="Times New Roman" w:eastAsia="宋体" w:cs="Times New Roman"/>
              <w:color w:val="auto"/>
              <w:sz w:val="24"/>
              <w:szCs w:val="24"/>
            </w:rPr>
            <w:t>5.5地下水污染防治措施</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_Toc8391580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89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"_Toc8391581" </w:instrText>
          </w:r>
          <w:r>
            <w:fldChar w:fldCharType="separate"/>
          </w:r>
          <w:r>
            <w:rPr>
              <w:rStyle w:val="17"/>
              <w:rFonts w:ascii="Times New Roman" w:hAnsi="Times New Roman" w:eastAsia="宋体" w:cs="Times New Roman"/>
              <w:color w:val="auto"/>
              <w:sz w:val="24"/>
              <w:szCs w:val="24"/>
            </w:rPr>
            <w:t>5.5.1地下水污染防治措施</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_Toc8391581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89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"_Toc8391582" </w:instrText>
          </w:r>
          <w:r>
            <w:fldChar w:fldCharType="separate"/>
          </w:r>
          <w:r>
            <w:rPr>
              <w:rStyle w:val="17"/>
              <w:rFonts w:ascii="Times New Roman" w:hAnsi="Times New Roman" w:eastAsia="宋体" w:cs="Times New Roman"/>
              <w:color w:val="auto"/>
              <w:sz w:val="24"/>
              <w:szCs w:val="24"/>
            </w:rPr>
            <w:t>5.5.2地下水跟踪监测计划</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_Toc8391582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90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"_Toc8391583" </w:instrText>
          </w:r>
          <w:r>
            <w:fldChar w:fldCharType="separate"/>
          </w:r>
          <w:r>
            <w:rPr>
              <w:rStyle w:val="17"/>
              <w:rFonts w:ascii="Times New Roman" w:hAnsi="Times New Roman" w:eastAsia="宋体" w:cs="Times New Roman"/>
              <w:color w:val="auto"/>
              <w:sz w:val="24"/>
              <w:szCs w:val="24"/>
            </w:rPr>
            <w:t>5.6 环保措施及“三同时”验收清单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_Toc8391583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93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tabs>
              <w:tab w:val="right" w:leader="dot" w:pos="8296"/>
            </w:tabs>
            <w:rPr>
              <w:rFonts w:ascii="Times New Roman" w:hAnsi="Times New Roman" w:eastAsia="宋体" w:cs="Times New Roman"/>
              <w:sz w:val="24"/>
              <w:szCs w:val="24"/>
            </w:rPr>
          </w:pPr>
          <w:r>
            <w:fldChar w:fldCharType="begin"/>
          </w:r>
          <w:r>
            <w:instrText xml:space="preserve"> HYPERLINK \l "_Toc8391584" </w:instrText>
          </w:r>
          <w:r>
            <w:fldChar w:fldCharType="separate"/>
          </w:r>
          <w:r>
            <w:rPr>
              <w:rStyle w:val="17"/>
              <w:rFonts w:ascii="Times New Roman" w:hAnsi="Times New Roman" w:eastAsia="宋体" w:cs="Times New Roman"/>
              <w:color w:val="auto"/>
              <w:sz w:val="24"/>
              <w:szCs w:val="24"/>
            </w:rPr>
            <w:t>6 变更前后总量控制分析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_Toc8391584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96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"_Toc8391585" </w:instrText>
          </w:r>
          <w:r>
            <w:fldChar w:fldCharType="separate"/>
          </w:r>
          <w:r>
            <w:rPr>
              <w:rStyle w:val="17"/>
              <w:rFonts w:ascii="Times New Roman" w:hAnsi="Times New Roman" w:eastAsia="宋体" w:cs="Times New Roman"/>
              <w:color w:val="auto"/>
              <w:sz w:val="24"/>
              <w:szCs w:val="24"/>
            </w:rPr>
            <w:t>6.1变更前后水污染总量指标</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_Toc8391585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96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"_Toc8391586" </w:instrText>
          </w:r>
          <w:r>
            <w:fldChar w:fldCharType="separate"/>
          </w:r>
          <w:r>
            <w:rPr>
              <w:rStyle w:val="17"/>
              <w:rFonts w:ascii="Times New Roman" w:hAnsi="Times New Roman" w:eastAsia="宋体" w:cs="Times New Roman"/>
              <w:color w:val="auto"/>
              <w:sz w:val="24"/>
              <w:szCs w:val="24"/>
            </w:rPr>
            <w:t>6.2变更前后大气污染总量指标</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_Toc8391586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96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"_Toc8391587" </w:instrText>
          </w:r>
          <w:r>
            <w:fldChar w:fldCharType="separate"/>
          </w:r>
          <w:r>
            <w:rPr>
              <w:rStyle w:val="17"/>
              <w:rFonts w:ascii="Times New Roman" w:hAnsi="Times New Roman" w:eastAsia="宋体" w:cs="Times New Roman"/>
              <w:snapToGrid w:val="0"/>
              <w:color w:val="auto"/>
              <w:sz w:val="24"/>
              <w:szCs w:val="24"/>
            </w:rPr>
            <w:t>6.2.1 SO</w:t>
          </w:r>
          <w:r>
            <w:rPr>
              <w:rStyle w:val="17"/>
              <w:rFonts w:ascii="Times New Roman" w:hAnsi="Times New Roman" w:eastAsia="宋体" w:cs="Times New Roman"/>
              <w:snapToGrid w:val="0"/>
              <w:color w:val="auto"/>
              <w:sz w:val="24"/>
              <w:szCs w:val="24"/>
              <w:vertAlign w:val="subscript"/>
            </w:rPr>
            <w:t>2</w:t>
          </w:r>
          <w:r>
            <w:rPr>
              <w:rStyle w:val="17"/>
              <w:rFonts w:ascii="Times New Roman" w:hAnsi="Times New Roman" w:eastAsia="宋体" w:cs="Times New Roman"/>
              <w:snapToGrid w:val="0"/>
              <w:color w:val="auto"/>
              <w:sz w:val="24"/>
              <w:szCs w:val="24"/>
            </w:rPr>
            <w:t>和NO</w:t>
          </w:r>
          <w:r>
            <w:rPr>
              <w:rStyle w:val="17"/>
              <w:rFonts w:ascii="Times New Roman" w:hAnsi="Times New Roman" w:eastAsia="宋体" w:cs="Times New Roman"/>
              <w:snapToGrid w:val="0"/>
              <w:color w:val="auto"/>
              <w:sz w:val="24"/>
              <w:szCs w:val="24"/>
              <w:vertAlign w:val="subscript"/>
            </w:rPr>
            <w:t>X</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_Toc8391587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96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"_Toc8391588" </w:instrText>
          </w:r>
          <w:r>
            <w:fldChar w:fldCharType="separate"/>
          </w:r>
          <w:r>
            <w:rPr>
              <w:rStyle w:val="17"/>
              <w:rFonts w:ascii="Times New Roman" w:hAnsi="Times New Roman" w:eastAsia="宋体" w:cs="Times New Roman"/>
              <w:snapToGrid w:val="0"/>
              <w:color w:val="auto"/>
              <w:sz w:val="24"/>
              <w:szCs w:val="24"/>
            </w:rPr>
            <w:t>6.2.2 非甲烷总烃</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_Toc8391588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97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tabs>
              <w:tab w:val="right" w:leader="dot" w:pos="8296"/>
            </w:tabs>
            <w:rPr>
              <w:rFonts w:ascii="Times New Roman" w:hAnsi="Times New Roman" w:eastAsia="宋体" w:cs="Times New Roman"/>
              <w:sz w:val="24"/>
              <w:szCs w:val="24"/>
            </w:rPr>
          </w:pPr>
          <w:r>
            <w:fldChar w:fldCharType="begin"/>
          </w:r>
          <w:r>
            <w:instrText xml:space="preserve"> HYPERLINK \l "_Toc8391589" </w:instrText>
          </w:r>
          <w:r>
            <w:fldChar w:fldCharType="separate"/>
          </w:r>
          <w:r>
            <w:rPr>
              <w:rStyle w:val="17"/>
              <w:rFonts w:ascii="Times New Roman" w:hAnsi="Times New Roman" w:eastAsia="宋体" w:cs="Times New Roman"/>
              <w:color w:val="auto"/>
              <w:sz w:val="24"/>
              <w:szCs w:val="24"/>
            </w:rPr>
            <w:t>7 评价结论与建议</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_Toc8391589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99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"_Toc8391590" </w:instrText>
          </w:r>
          <w:r>
            <w:fldChar w:fldCharType="separate"/>
          </w:r>
          <w:r>
            <w:rPr>
              <w:rStyle w:val="17"/>
              <w:rFonts w:ascii="Times New Roman" w:hAnsi="Times New Roman" w:eastAsia="宋体" w:cs="Times New Roman"/>
              <w:color w:val="auto"/>
              <w:sz w:val="24"/>
              <w:szCs w:val="24"/>
            </w:rPr>
            <w:t>7.1 评价结论</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_Toc8391590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99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"_Toc8391591" </w:instrText>
          </w:r>
          <w:r>
            <w:fldChar w:fldCharType="separate"/>
          </w:r>
          <w:r>
            <w:rPr>
              <w:rStyle w:val="17"/>
              <w:rFonts w:ascii="Times New Roman" w:hAnsi="Times New Roman" w:eastAsia="宋体" w:cs="Times New Roman"/>
              <w:snapToGrid w:val="0"/>
              <w:color w:val="auto"/>
              <w:sz w:val="24"/>
              <w:szCs w:val="24"/>
            </w:rPr>
            <w:t>7.1.1工程概况</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_Toc8391591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99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"_Toc8391592" </w:instrText>
          </w:r>
          <w:r>
            <w:fldChar w:fldCharType="separate"/>
          </w:r>
          <w:r>
            <w:rPr>
              <w:rStyle w:val="17"/>
              <w:rFonts w:ascii="Times New Roman" w:hAnsi="Times New Roman" w:eastAsia="宋体" w:cs="Times New Roman"/>
              <w:snapToGrid w:val="0"/>
              <w:color w:val="auto"/>
              <w:sz w:val="24"/>
              <w:szCs w:val="24"/>
            </w:rPr>
            <w:t>7.1.2环境影响分析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_Toc8391592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99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"_Toc8391593" </w:instrText>
          </w:r>
          <w:r>
            <w:fldChar w:fldCharType="separate"/>
          </w:r>
          <w:r>
            <w:rPr>
              <w:rStyle w:val="17"/>
              <w:rFonts w:ascii="Times New Roman" w:hAnsi="Times New Roman" w:eastAsia="宋体" w:cs="Times New Roman"/>
              <w:snapToGrid w:val="0"/>
              <w:color w:val="auto"/>
              <w:sz w:val="24"/>
              <w:szCs w:val="24"/>
            </w:rPr>
            <w:t>7.1.3 环境保护措施分析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_Toc8391593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100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8"/>
            <w:tabs>
              <w:tab w:val="right" w:leader="dot" w:pos="8296"/>
            </w:tabs>
            <w:rPr>
              <w:rFonts w:ascii="Times New Roman" w:hAnsi="Times New Roman" w:eastAsia="宋体" w:cs="Times New Roman"/>
              <w:sz w:val="24"/>
              <w:szCs w:val="24"/>
            </w:rPr>
          </w:pPr>
          <w:r>
            <w:fldChar w:fldCharType="begin"/>
          </w:r>
          <w:r>
            <w:instrText xml:space="preserve"> HYPERLINK \l "_Toc8391594" </w:instrText>
          </w:r>
          <w:r>
            <w:fldChar w:fldCharType="separate"/>
          </w:r>
          <w:r>
            <w:rPr>
              <w:rStyle w:val="17"/>
              <w:rFonts w:ascii="Times New Roman" w:hAnsi="Times New Roman" w:eastAsia="宋体" w:cs="Times New Roman"/>
              <w:snapToGrid w:val="0"/>
              <w:color w:val="auto"/>
              <w:sz w:val="24"/>
              <w:szCs w:val="24"/>
            </w:rPr>
            <w:t>7.1.4 总量控制</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_Toc8391594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101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"_Toc8391595" </w:instrText>
          </w:r>
          <w:r>
            <w:fldChar w:fldCharType="separate"/>
          </w:r>
          <w:r>
            <w:rPr>
              <w:rStyle w:val="17"/>
              <w:rFonts w:ascii="Times New Roman" w:hAnsi="Times New Roman" w:eastAsia="宋体" w:cs="Times New Roman"/>
              <w:color w:val="auto"/>
              <w:sz w:val="24"/>
              <w:szCs w:val="24"/>
            </w:rPr>
            <w:t>7.2 评价总结论</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_Toc8391595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101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4"/>
            <w:tabs>
              <w:tab w:val="right" w:leader="dot" w:pos="8296"/>
            </w:tabs>
            <w:rPr>
              <w:rFonts w:ascii="Times New Roman" w:hAnsi="Times New Roman" w:eastAsia="宋体" w:cs="Times New Roman"/>
              <w:sz w:val="24"/>
              <w:szCs w:val="24"/>
            </w:rPr>
          </w:pPr>
          <w:r>
            <w:fldChar w:fldCharType="begin"/>
          </w:r>
          <w:r>
            <w:instrText xml:space="preserve"> HYPERLINK \l "_Toc8391596" </w:instrText>
          </w:r>
          <w:r>
            <w:fldChar w:fldCharType="separate"/>
          </w:r>
          <w:r>
            <w:rPr>
              <w:rStyle w:val="17"/>
              <w:rFonts w:ascii="Times New Roman" w:hAnsi="Times New Roman" w:eastAsia="宋体" w:cs="Times New Roman"/>
              <w:color w:val="auto"/>
              <w:sz w:val="24"/>
              <w:szCs w:val="24"/>
            </w:rPr>
            <w:t>7.3 评价建议</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_Toc8391596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102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tabs>
              <w:tab w:val="right" w:leader="dot" w:pos="8296"/>
            </w:tabs>
            <w:rPr>
              <w:rFonts w:ascii="Times New Roman" w:hAnsi="Times New Roman" w:eastAsia="宋体" w:cs="Times New Roman"/>
              <w:sz w:val="24"/>
              <w:szCs w:val="24"/>
            </w:rPr>
          </w:pPr>
          <w:r>
            <w:fldChar w:fldCharType="begin"/>
          </w:r>
          <w:r>
            <w:instrText xml:space="preserve"> HYPERLINK \l "_Toc8391597" </w:instrText>
          </w:r>
          <w:r>
            <w:fldChar w:fldCharType="separate"/>
          </w:r>
          <w:r>
            <w:rPr>
              <w:rStyle w:val="17"/>
              <w:rFonts w:ascii="Times New Roman" w:hAnsi="Times New Roman" w:eastAsia="宋体" w:cs="Times New Roman"/>
              <w:color w:val="auto"/>
              <w:sz w:val="24"/>
              <w:szCs w:val="24"/>
            </w:rPr>
            <w:t>现场照片</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_Toc8391597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103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tabs>
              <w:tab w:val="right" w:leader="dot" w:pos="8296"/>
            </w:tabs>
            <w:rPr>
              <w:rFonts w:ascii="Times New Roman" w:hAnsi="Times New Roman" w:eastAsia="宋体" w:cs="Times New Roman"/>
              <w:sz w:val="24"/>
              <w:szCs w:val="24"/>
            </w:rPr>
          </w:pPr>
          <w:r>
            <w:fldChar w:fldCharType="begin"/>
          </w:r>
          <w:r>
            <w:instrText xml:space="preserve"> HYPERLINK \l "_Toc8391598" </w:instrText>
          </w:r>
          <w:r>
            <w:fldChar w:fldCharType="separate"/>
          </w:r>
          <w:r>
            <w:rPr>
              <w:rStyle w:val="17"/>
              <w:rFonts w:ascii="Times New Roman" w:hAnsi="Times New Roman" w:eastAsia="宋体" w:cs="Times New Roman"/>
              <w:color w:val="auto"/>
              <w:sz w:val="24"/>
              <w:szCs w:val="24"/>
            </w:rPr>
            <w:t>附图</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_Toc8391598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103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tabs>
              <w:tab w:val="right" w:leader="dot" w:pos="8296"/>
            </w:tabs>
            <w:rPr>
              <w:rFonts w:ascii="Times New Roman" w:hAnsi="Times New Roman" w:eastAsia="宋体" w:cs="Times New Roman"/>
              <w:sz w:val="24"/>
              <w:szCs w:val="24"/>
            </w:rPr>
          </w:pPr>
          <w:r>
            <w:fldChar w:fldCharType="begin"/>
          </w:r>
          <w:r>
            <w:instrText xml:space="preserve"> HYPERLINK \l "_Toc8391599" </w:instrText>
          </w:r>
          <w:r>
            <w:fldChar w:fldCharType="separate"/>
          </w:r>
          <w:r>
            <w:rPr>
              <w:rStyle w:val="17"/>
              <w:rFonts w:ascii="Times New Roman" w:hAnsi="Times New Roman" w:eastAsia="宋体" w:cs="Times New Roman"/>
              <w:color w:val="auto"/>
              <w:sz w:val="24"/>
              <w:szCs w:val="24"/>
            </w:rPr>
            <w:t>附件</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_Toc8391599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103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rPr>
              <w:rFonts w:ascii="Times New Roman" w:hAnsi="Times New Roman" w:eastAsia="宋体" w:cs="Times New Roman"/>
              <w:sz w:val="24"/>
              <w:szCs w:val="24"/>
            </w:rPr>
          </w:pPr>
          <w:r>
            <w:rPr>
              <w:rFonts w:ascii="Times New Roman" w:hAnsi="Times New Roman" w:eastAsia="宋体" w:cs="Times New Roman"/>
              <w:b/>
              <w:bCs/>
              <w:sz w:val="24"/>
              <w:szCs w:val="24"/>
              <w:lang w:val="zh-CN"/>
            </w:rPr>
            <w:fldChar w:fldCharType="end"/>
          </w:r>
        </w:p>
      </w:sdtContent>
    </w:sdt>
    <w:p>
      <w:pPr>
        <w:sectPr>
          <w:footerReference r:id="rId3" w:type="default"/>
          <w:pgSz w:w="11906" w:h="16838"/>
          <w:pgMar w:top="1440" w:right="1800" w:bottom="1440" w:left="1800" w:header="851" w:footer="992" w:gutter="0"/>
          <w:pgNumType w:fmt="upperRoman"/>
          <w:cols w:space="425" w:num="1"/>
          <w:docGrid w:type="lines" w:linePitch="312" w:charSpace="0"/>
        </w:sectPr>
      </w:pPr>
    </w:p>
    <w:p>
      <w:pPr>
        <w:pStyle w:val="38"/>
      </w:pPr>
      <w:bookmarkStart w:id="0" w:name="_Toc8391513"/>
      <w:r>
        <w:rPr>
          <w:rFonts w:hint="eastAsia"/>
        </w:rPr>
        <w:t>1</w:t>
      </w:r>
      <w:r>
        <w:t xml:space="preserve"> </w:t>
      </w:r>
      <w:r>
        <w:rPr>
          <w:rFonts w:hint="eastAsia"/>
        </w:rPr>
        <w:t>前言</w:t>
      </w:r>
      <w:bookmarkEnd w:id="0"/>
    </w:p>
    <w:p>
      <w:pPr>
        <w:pStyle w:val="39"/>
        <w:rPr>
          <w:color w:val="auto"/>
        </w:rPr>
      </w:pPr>
      <w:bookmarkStart w:id="1" w:name="_Toc8391514"/>
      <w:r>
        <w:rPr>
          <w:rFonts w:hint="eastAsia"/>
          <w:color w:val="auto"/>
        </w:rPr>
        <w:t>1.1 项目背景</w:t>
      </w:r>
      <w:bookmarkEnd w:id="1"/>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河南科瑞斯环保科技有限公司成立于2017年11月，位于</w:t>
      </w:r>
      <w:r>
        <w:rPr>
          <w:rFonts w:ascii="Times New Roman" w:hAnsi="Times New Roman" w:eastAsia="宋体" w:cs="Times New Roman"/>
          <w:sz w:val="24"/>
          <w:szCs w:val="24"/>
        </w:rPr>
        <w:t>河南省</w:t>
      </w:r>
      <w:r>
        <w:rPr>
          <w:rFonts w:hint="eastAsia" w:ascii="Times New Roman" w:hAnsi="Times New Roman" w:eastAsia="宋体" w:cs="Times New Roman"/>
          <w:sz w:val="24"/>
          <w:szCs w:val="24"/>
        </w:rPr>
        <w:t>濮阳经济技术产业集聚区</w:t>
      </w:r>
      <w:r>
        <w:rPr>
          <w:rFonts w:ascii="Times New Roman" w:hAnsi="Times New Roman" w:eastAsia="宋体"/>
          <w:sz w:val="24"/>
          <w:szCs w:val="24"/>
        </w:rPr>
        <w:t>濮源路与建设西路交叉口西北角</w:t>
      </w:r>
      <w:r>
        <w:rPr>
          <w:rFonts w:hint="eastAsia" w:ascii="Times New Roman" w:hAnsi="Times New Roman" w:eastAsia="宋体"/>
          <w:sz w:val="24"/>
          <w:szCs w:val="24"/>
        </w:rPr>
        <w:t>，</w:t>
      </w:r>
      <w:r>
        <w:rPr>
          <w:rFonts w:hint="eastAsia" w:ascii="Times New Roman" w:hAnsi="Times New Roman" w:eastAsia="宋体" w:cs="Times New Roman"/>
          <w:sz w:val="24"/>
          <w:szCs w:val="24"/>
        </w:rPr>
        <w:t>河南科瑞斯环保科技有限公司</w:t>
      </w:r>
      <w:r>
        <w:rPr>
          <w:rFonts w:ascii="Times New Roman" w:hAnsi="Times New Roman" w:eastAsia="宋体" w:cs="Times New Roman"/>
          <w:sz w:val="24"/>
          <w:szCs w:val="24"/>
        </w:rPr>
        <w:t>10</w:t>
      </w:r>
      <w:r>
        <w:rPr>
          <w:rFonts w:hint="eastAsia" w:ascii="Times New Roman" w:hAnsi="Times New Roman" w:eastAsia="宋体" w:cs="Times New Roman"/>
          <w:sz w:val="24"/>
          <w:szCs w:val="24"/>
        </w:rPr>
        <w:t>万吨</w:t>
      </w:r>
      <w:r>
        <w:rPr>
          <w:rFonts w:ascii="Times New Roman" w:hAnsi="Times New Roman" w:eastAsia="宋体" w:cs="Times New Roman"/>
          <w:sz w:val="24"/>
          <w:szCs w:val="24"/>
        </w:rPr>
        <w:t>/</w:t>
      </w:r>
      <w:r>
        <w:rPr>
          <w:rFonts w:hint="eastAsia" w:ascii="Times New Roman" w:hAnsi="Times New Roman" w:eastAsia="宋体" w:cs="Times New Roman"/>
          <w:sz w:val="24"/>
          <w:szCs w:val="24"/>
        </w:rPr>
        <w:t>年废矿物油综合利用项目于201</w:t>
      </w:r>
      <w:r>
        <w:rPr>
          <w:rFonts w:ascii="Times New Roman" w:hAnsi="Times New Roman" w:eastAsia="宋体" w:cs="Times New Roman"/>
          <w:sz w:val="24"/>
          <w:szCs w:val="24"/>
        </w:rPr>
        <w:t>7</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12</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26</w:t>
      </w:r>
      <w:r>
        <w:rPr>
          <w:rFonts w:hint="eastAsia" w:ascii="Times New Roman" w:hAnsi="Times New Roman" w:eastAsia="宋体" w:cs="Times New Roman"/>
          <w:sz w:val="24"/>
          <w:szCs w:val="24"/>
        </w:rPr>
        <w:t>日在濮阳市经济技术开发区经济发展局备案，备案号：2</w:t>
      </w:r>
      <w:r>
        <w:rPr>
          <w:rFonts w:ascii="Times New Roman" w:hAnsi="Times New Roman" w:eastAsia="宋体" w:cs="Times New Roman"/>
          <w:sz w:val="24"/>
          <w:szCs w:val="24"/>
        </w:rPr>
        <w:t>017-410952-42-03-045423</w:t>
      </w:r>
      <w:r>
        <w:rPr>
          <w:rFonts w:hint="eastAsia" w:ascii="Times New Roman" w:hAnsi="Times New Roman" w:eastAsia="宋体" w:cs="Times New Roman"/>
          <w:sz w:val="24"/>
          <w:szCs w:val="24"/>
        </w:rPr>
        <w:t>。</w:t>
      </w:r>
    </w:p>
    <w:p>
      <w:pPr>
        <w:widowControl/>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濮阳经济技术开发区环境保护局</w:t>
      </w:r>
      <w:r>
        <w:rPr>
          <w:rFonts w:hint="eastAsia" w:ascii="Times New Roman" w:hAnsi="Times New Roman" w:eastAsia="宋体"/>
          <w:sz w:val="24"/>
          <w:szCs w:val="24"/>
        </w:rPr>
        <w:t>于</w:t>
      </w:r>
      <w:r>
        <w:rPr>
          <w:rFonts w:hint="eastAsia" w:ascii="Times New Roman" w:hAnsi="Times New Roman" w:eastAsia="宋体" w:cs="Times New Roman"/>
          <w:sz w:val="24"/>
          <w:szCs w:val="24"/>
        </w:rPr>
        <w:t>2018年4月对河南科瑞斯环保科技有限公司</w:t>
      </w:r>
      <w:r>
        <w:rPr>
          <w:rFonts w:ascii="Times New Roman" w:hAnsi="Times New Roman" w:eastAsia="宋体" w:cs="Times New Roman"/>
          <w:sz w:val="24"/>
          <w:szCs w:val="24"/>
        </w:rPr>
        <w:t>10</w:t>
      </w:r>
      <w:r>
        <w:rPr>
          <w:rFonts w:hint="eastAsia" w:ascii="Times New Roman" w:hAnsi="Times New Roman" w:eastAsia="宋体" w:cs="Times New Roman"/>
          <w:sz w:val="24"/>
          <w:szCs w:val="24"/>
        </w:rPr>
        <w:t>万吨</w:t>
      </w:r>
      <w:r>
        <w:rPr>
          <w:rFonts w:ascii="Times New Roman" w:hAnsi="Times New Roman" w:eastAsia="宋体" w:cs="Times New Roman"/>
          <w:sz w:val="24"/>
          <w:szCs w:val="24"/>
        </w:rPr>
        <w:t>/</w:t>
      </w:r>
      <w:r>
        <w:rPr>
          <w:rFonts w:hint="eastAsia" w:ascii="Times New Roman" w:hAnsi="Times New Roman" w:eastAsia="宋体" w:cs="Times New Roman"/>
          <w:sz w:val="24"/>
          <w:szCs w:val="24"/>
        </w:rPr>
        <w:t>年废矿物油综合利用项目以</w:t>
      </w:r>
      <w:r>
        <w:rPr>
          <w:rFonts w:ascii="Times New Roman" w:hAnsi="Times New Roman" w:eastAsia="宋体" w:cs="Times New Roman"/>
          <w:sz w:val="24"/>
          <w:szCs w:val="24"/>
        </w:rPr>
        <w:t>濮</w:t>
      </w:r>
      <w:r>
        <w:rPr>
          <w:rFonts w:hint="eastAsia" w:ascii="Times New Roman" w:hAnsi="Times New Roman" w:eastAsia="宋体" w:cs="Times New Roman"/>
          <w:sz w:val="24"/>
          <w:szCs w:val="24"/>
        </w:rPr>
        <w:t>开环审[</w:t>
      </w:r>
      <w:r>
        <w:rPr>
          <w:rFonts w:ascii="Times New Roman" w:hAnsi="Times New Roman" w:eastAsia="宋体" w:cs="Times New Roman"/>
          <w:sz w:val="24"/>
          <w:szCs w:val="24"/>
        </w:rPr>
        <w:t>2018</w:t>
      </w:r>
      <w:r>
        <w:rPr>
          <w:rFonts w:hint="eastAsia" w:ascii="Times New Roman" w:hAnsi="Times New Roman" w:eastAsia="宋体" w:cs="Times New Roman"/>
          <w:sz w:val="24"/>
          <w:szCs w:val="24"/>
        </w:rPr>
        <w:t>]</w:t>
      </w:r>
      <w:r>
        <w:rPr>
          <w:rFonts w:ascii="Times New Roman" w:hAnsi="Times New Roman" w:eastAsia="宋体" w:cs="Times New Roman"/>
          <w:sz w:val="24"/>
          <w:szCs w:val="24"/>
        </w:rPr>
        <w:t>14</w:t>
      </w:r>
      <w:r>
        <w:rPr>
          <w:rFonts w:hint="eastAsia" w:ascii="Times New Roman" w:hAnsi="Times New Roman" w:eastAsia="宋体" w:cs="Times New Roman"/>
          <w:sz w:val="24"/>
          <w:szCs w:val="24"/>
        </w:rPr>
        <w:t>号文予以批复，</w:t>
      </w:r>
      <w:r>
        <w:rPr>
          <w:rFonts w:ascii="Times New Roman" w:hAnsi="Times New Roman" w:eastAsia="宋体" w:cs="Times New Roman"/>
          <w:sz w:val="24"/>
          <w:szCs w:val="24"/>
        </w:rPr>
        <w:t>见附件3</w:t>
      </w:r>
      <w:r>
        <w:rPr>
          <w:rFonts w:hint="eastAsia" w:ascii="Times New Roman" w:hAnsi="Times New Roman" w:eastAsia="宋体" w:cs="Times New Roman"/>
          <w:sz w:val="24"/>
          <w:szCs w:val="24"/>
        </w:rPr>
        <w:t>。目前正处于施工</w:t>
      </w:r>
      <w:r>
        <w:rPr>
          <w:rFonts w:ascii="Times New Roman" w:hAnsi="Times New Roman" w:eastAsia="宋体" w:cs="Times New Roman"/>
          <w:sz w:val="24"/>
          <w:szCs w:val="24"/>
        </w:rPr>
        <w:t>安装</w:t>
      </w:r>
      <w:r>
        <w:rPr>
          <w:rFonts w:hint="eastAsia" w:ascii="Times New Roman" w:hAnsi="Times New Roman" w:eastAsia="宋体" w:cs="Times New Roman"/>
          <w:sz w:val="24"/>
          <w:szCs w:val="24"/>
        </w:rPr>
        <w:t>阶段。</w:t>
      </w:r>
    </w:p>
    <w:p>
      <w:pPr>
        <w:widowControl/>
        <w:spacing w:line="48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该项目</w:t>
      </w:r>
      <w:r>
        <w:rPr>
          <w:rFonts w:hint="eastAsia" w:ascii="Times New Roman" w:hAnsi="Times New Roman" w:eastAsia="宋体" w:cs="Times New Roman"/>
          <w:sz w:val="24"/>
          <w:szCs w:val="24"/>
        </w:rPr>
        <w:t>以废润滑油、废变压器油、废冷冻机油、废齿轮油、废内燃机油等为原料，</w:t>
      </w:r>
      <w:r>
        <w:rPr>
          <w:rFonts w:ascii="Times New Roman" w:hAnsi="Times New Roman" w:eastAsia="宋体" w:cs="Times New Roman"/>
          <w:sz w:val="24"/>
          <w:szCs w:val="24"/>
        </w:rPr>
        <w:t>通过原料预处理、溶剂</w:t>
      </w:r>
      <w:r>
        <w:rPr>
          <w:rFonts w:hint="eastAsia" w:ascii="Times New Roman" w:hAnsi="Times New Roman" w:eastAsia="宋体" w:cs="Times New Roman"/>
          <w:sz w:val="24"/>
          <w:szCs w:val="24"/>
        </w:rPr>
        <w:t>精制</w:t>
      </w:r>
      <w:r>
        <w:rPr>
          <w:rFonts w:ascii="Times New Roman" w:hAnsi="Times New Roman" w:eastAsia="宋体" w:cs="Times New Roman"/>
          <w:sz w:val="24"/>
          <w:szCs w:val="24"/>
        </w:rPr>
        <w:t>、</w:t>
      </w:r>
      <w:r>
        <w:rPr>
          <w:rFonts w:hint="eastAsia" w:ascii="Times New Roman" w:hAnsi="Times New Roman" w:eastAsia="宋体" w:cs="Times New Roman"/>
          <w:sz w:val="24"/>
          <w:szCs w:val="24"/>
        </w:rPr>
        <w:t>减压</w:t>
      </w:r>
      <w:r>
        <w:rPr>
          <w:rFonts w:ascii="Times New Roman" w:hAnsi="Times New Roman" w:eastAsia="宋体" w:cs="Times New Roman"/>
          <w:sz w:val="24"/>
          <w:szCs w:val="24"/>
        </w:rPr>
        <w:t>蒸馏</w:t>
      </w:r>
      <w:r>
        <w:rPr>
          <w:rFonts w:hint="eastAsia" w:ascii="Times New Roman" w:hAnsi="Times New Roman" w:eastAsia="宋体" w:cs="Times New Roman"/>
          <w:sz w:val="24"/>
          <w:szCs w:val="24"/>
        </w:rPr>
        <w:t>等单元</w:t>
      </w:r>
      <w:r>
        <w:rPr>
          <w:rFonts w:ascii="Times New Roman" w:hAnsi="Times New Roman" w:eastAsia="宋体" w:cs="Times New Roman"/>
          <w:sz w:val="24"/>
          <w:szCs w:val="24"/>
        </w:rPr>
        <w:t>，生产</w:t>
      </w:r>
      <w:r>
        <w:rPr>
          <w:rFonts w:hint="eastAsia" w:ascii="Times New Roman" w:hAnsi="Times New Roman" w:eastAsia="宋体" w:cs="Times New Roman"/>
          <w:sz w:val="24"/>
          <w:szCs w:val="24"/>
        </w:rPr>
        <w:t>75#基础油、100#基础油、150#基础油和200#基础油等基础油，副产品为柴油、燃料油、汽油和沥青</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主要建设内容</w:t>
      </w:r>
      <w:r>
        <w:rPr>
          <w:rFonts w:ascii="Times New Roman" w:hAnsi="Times New Roman" w:eastAsia="宋体" w:cs="Times New Roman"/>
          <w:sz w:val="24"/>
          <w:szCs w:val="24"/>
        </w:rPr>
        <w:t>有生产装置区、装卸车设施、原料罐组、产品罐组、中心主控室、总变电所、消防设施、地面火炬、固废暂存间、化验室、空压站、循环水池、备品备件库及研发中心等</w:t>
      </w:r>
      <w:r>
        <w:rPr>
          <w:rFonts w:hint="eastAsia" w:ascii="Times New Roman" w:hAnsi="Times New Roman" w:eastAsia="宋体" w:cs="Times New Roman"/>
          <w:sz w:val="24"/>
          <w:szCs w:val="24"/>
        </w:rPr>
        <w:t>。项目总占地100亩，项目</w:t>
      </w:r>
      <w:r>
        <w:rPr>
          <w:rFonts w:ascii="Times New Roman" w:hAnsi="Times New Roman" w:eastAsia="宋体" w:cs="Times New Roman"/>
          <w:sz w:val="24"/>
          <w:szCs w:val="24"/>
        </w:rPr>
        <w:t>总投资</w:t>
      </w:r>
      <w:r>
        <w:rPr>
          <w:rFonts w:hint="eastAsia" w:ascii="Times New Roman" w:hAnsi="Times New Roman" w:eastAsia="宋体" w:cs="Times New Roman"/>
          <w:sz w:val="24"/>
          <w:szCs w:val="24"/>
        </w:rPr>
        <w:t>约</w:t>
      </w:r>
      <w:r>
        <w:rPr>
          <w:rFonts w:ascii="Times New Roman" w:hAnsi="Times New Roman" w:eastAsia="宋体" w:cs="Times New Roman"/>
          <w:sz w:val="24"/>
          <w:szCs w:val="24"/>
        </w:rPr>
        <w:t>58000</w:t>
      </w:r>
      <w:r>
        <w:rPr>
          <w:rFonts w:hint="eastAsia" w:ascii="Times New Roman" w:hAnsi="Times New Roman" w:eastAsia="宋体" w:cs="Times New Roman"/>
          <w:sz w:val="24"/>
          <w:szCs w:val="24"/>
        </w:rPr>
        <w:t>万元。劳动</w:t>
      </w:r>
      <w:r>
        <w:rPr>
          <w:rFonts w:ascii="Times New Roman" w:hAnsi="Times New Roman" w:eastAsia="宋体"/>
          <w:sz w:val="24"/>
          <w:szCs w:val="24"/>
        </w:rPr>
        <w:t>定员人数</w:t>
      </w:r>
      <w:r>
        <w:rPr>
          <w:rFonts w:hint="eastAsia" w:ascii="Times New Roman" w:hAnsi="Times New Roman" w:eastAsia="宋体"/>
          <w:sz w:val="24"/>
          <w:szCs w:val="24"/>
        </w:rPr>
        <w:t>80</w:t>
      </w:r>
      <w:r>
        <w:rPr>
          <w:rFonts w:ascii="Times New Roman" w:hAnsi="Times New Roman" w:eastAsia="宋体"/>
          <w:sz w:val="24"/>
          <w:szCs w:val="24"/>
        </w:rPr>
        <w:t>人</w:t>
      </w:r>
      <w:r>
        <w:rPr>
          <w:rFonts w:hint="eastAsia" w:ascii="Times New Roman" w:hAnsi="Times New Roman" w:eastAsia="宋体"/>
          <w:sz w:val="24"/>
          <w:szCs w:val="24"/>
        </w:rPr>
        <w:t>，</w:t>
      </w:r>
      <w:r>
        <w:rPr>
          <w:rFonts w:ascii="Times New Roman" w:hAnsi="Times New Roman" w:eastAsia="宋体"/>
          <w:sz w:val="24"/>
          <w:szCs w:val="24"/>
        </w:rPr>
        <w:t>三班制，年工作330天</w:t>
      </w:r>
      <w:r>
        <w:rPr>
          <w:rFonts w:hint="eastAsia" w:ascii="Times New Roman" w:hAnsi="Times New Roman" w:eastAsia="宋体"/>
          <w:sz w:val="24"/>
          <w:szCs w:val="24"/>
        </w:rPr>
        <w:t>以上。</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随着行业技术的不断革新，综合考虑原料性质、</w:t>
      </w:r>
      <w:r>
        <w:rPr>
          <w:rFonts w:ascii="Times New Roman" w:hAnsi="Times New Roman" w:eastAsia="宋体" w:cs="Times New Roman"/>
          <w:sz w:val="24"/>
          <w:szCs w:val="24"/>
        </w:rPr>
        <w:t>投资</w:t>
      </w:r>
      <w:r>
        <w:rPr>
          <w:rFonts w:hint="eastAsia" w:ascii="Times New Roman" w:hAnsi="Times New Roman" w:eastAsia="宋体" w:cs="Times New Roman"/>
          <w:sz w:val="24"/>
          <w:szCs w:val="24"/>
        </w:rPr>
        <w:t>与建设周期、操作稳定性等各方面因素，建设单位拟对项目原工艺进行优化，对设备进行革新，</w:t>
      </w:r>
      <w:r>
        <w:rPr>
          <w:rFonts w:ascii="Times New Roman" w:hAnsi="Times New Roman" w:eastAsia="宋体" w:cs="Times New Roman"/>
          <w:sz w:val="24"/>
          <w:szCs w:val="24"/>
        </w:rPr>
        <w:t>减少</w:t>
      </w:r>
      <w:r>
        <w:rPr>
          <w:rFonts w:hint="eastAsia" w:ascii="Times New Roman" w:hAnsi="Times New Roman" w:eastAsia="宋体" w:cs="Times New Roman"/>
          <w:sz w:val="24"/>
          <w:szCs w:val="24"/>
        </w:rPr>
        <w:t>产污环节，</w:t>
      </w:r>
      <w:r>
        <w:rPr>
          <w:rFonts w:ascii="Times New Roman" w:hAnsi="Times New Roman" w:eastAsia="宋体" w:cs="Times New Roman"/>
          <w:sz w:val="24"/>
          <w:szCs w:val="24"/>
        </w:rPr>
        <w:t>更好</w:t>
      </w:r>
      <w:r>
        <w:rPr>
          <w:rFonts w:hint="eastAsia" w:ascii="Times New Roman" w:hAnsi="Times New Roman" w:eastAsia="宋体" w:cs="Times New Roman"/>
          <w:sz w:val="24"/>
          <w:szCs w:val="24"/>
        </w:rPr>
        <w:t>地实现节能减排。项目变更前后内容对照见下表。</w:t>
      </w:r>
    </w:p>
    <w:p>
      <w:pPr>
        <w:pStyle w:val="25"/>
        <w:ind w:firstLine="480"/>
        <w:rPr>
          <w:color w:val="auto"/>
        </w:rPr>
      </w:pPr>
      <w:r>
        <w:rPr>
          <w:rFonts w:hint="eastAsia"/>
          <w:color w:val="auto"/>
        </w:rPr>
        <w:t>表1.1</w:t>
      </w:r>
      <w:r>
        <w:rPr>
          <w:color w:val="auto"/>
        </w:rPr>
        <w:t xml:space="preserve">-1            </w:t>
      </w:r>
      <w:r>
        <w:rPr>
          <w:rFonts w:hint="eastAsia"/>
          <w:color w:val="auto"/>
        </w:rPr>
        <w:t>本项目变更前后内容对比一览表</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3235"/>
        <w:gridCol w:w="3096"/>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变更内容</w:t>
            </w:r>
          </w:p>
        </w:tc>
        <w:tc>
          <w:tcPr>
            <w:tcW w:w="323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变更前</w:t>
            </w:r>
          </w:p>
        </w:tc>
        <w:tc>
          <w:tcPr>
            <w:tcW w:w="309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变更后</w:t>
            </w:r>
          </w:p>
        </w:tc>
        <w:tc>
          <w:tcPr>
            <w:tcW w:w="150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原料</w:t>
            </w:r>
          </w:p>
        </w:tc>
        <w:tc>
          <w:tcPr>
            <w:tcW w:w="3235" w:type="dxa"/>
            <w:shd w:val="clear" w:color="auto" w:fill="auto"/>
            <w:vAlign w:val="center"/>
          </w:tcPr>
          <w:p>
            <w:pPr>
              <w:spacing w:line="240" w:lineRule="exact"/>
              <w:rPr>
                <w:rFonts w:ascii="Times New Roman" w:hAnsi="Times New Roman" w:eastAsia="宋体"/>
                <w:szCs w:val="21"/>
              </w:rPr>
            </w:pPr>
            <w:r>
              <w:rPr>
                <w:rFonts w:ascii="Times New Roman" w:hAnsi="Times New Roman" w:eastAsia="宋体"/>
                <w:szCs w:val="21"/>
              </w:rPr>
              <w:t>251-001-08</w:t>
            </w:r>
            <w:r>
              <w:rPr>
                <w:rFonts w:hint="eastAsia" w:ascii="Times New Roman" w:hAnsi="Times New Roman" w:eastAsia="宋体"/>
                <w:szCs w:val="21"/>
              </w:rPr>
              <w:t>，</w:t>
            </w:r>
            <w:r>
              <w:rPr>
                <w:rFonts w:ascii="Times New Roman" w:hAnsi="Times New Roman" w:eastAsia="宋体"/>
                <w:szCs w:val="21"/>
              </w:rPr>
              <w:t>251-005-08</w:t>
            </w:r>
            <w:r>
              <w:rPr>
                <w:rFonts w:hint="eastAsia" w:ascii="Times New Roman" w:hAnsi="Times New Roman" w:eastAsia="宋体"/>
                <w:szCs w:val="21"/>
              </w:rPr>
              <w:t>，</w:t>
            </w:r>
            <w:r>
              <w:rPr>
                <w:rFonts w:ascii="Times New Roman" w:hAnsi="Times New Roman" w:eastAsia="宋体"/>
                <w:szCs w:val="21"/>
              </w:rPr>
              <w:t>900-199-08</w:t>
            </w:r>
            <w:r>
              <w:rPr>
                <w:rFonts w:hint="eastAsia" w:ascii="Times New Roman" w:hAnsi="Times New Roman" w:eastAsia="宋体"/>
                <w:szCs w:val="21"/>
              </w:rPr>
              <w:t>，</w:t>
            </w:r>
            <w:r>
              <w:rPr>
                <w:rFonts w:ascii="Times New Roman" w:hAnsi="Times New Roman" w:eastAsia="宋体"/>
                <w:szCs w:val="21"/>
              </w:rPr>
              <w:t>900-200-08</w:t>
            </w:r>
            <w:r>
              <w:rPr>
                <w:rFonts w:hint="eastAsia" w:ascii="Times New Roman" w:hAnsi="Times New Roman" w:eastAsia="宋体"/>
                <w:szCs w:val="21"/>
              </w:rPr>
              <w:t>，</w:t>
            </w:r>
            <w:r>
              <w:rPr>
                <w:rFonts w:ascii="Times New Roman" w:hAnsi="Times New Roman" w:eastAsia="宋体"/>
                <w:szCs w:val="21"/>
              </w:rPr>
              <w:t>900-201-08</w:t>
            </w:r>
            <w:r>
              <w:rPr>
                <w:rFonts w:hint="eastAsia" w:ascii="Times New Roman" w:hAnsi="Times New Roman" w:eastAsia="宋体"/>
                <w:szCs w:val="21"/>
              </w:rPr>
              <w:t>，</w:t>
            </w:r>
            <w:r>
              <w:rPr>
                <w:rFonts w:ascii="Times New Roman" w:hAnsi="Times New Roman" w:eastAsia="宋体"/>
                <w:szCs w:val="21"/>
              </w:rPr>
              <w:t>900-203-08</w:t>
            </w:r>
            <w:r>
              <w:rPr>
                <w:rFonts w:hint="eastAsia" w:ascii="Times New Roman" w:hAnsi="Times New Roman" w:eastAsia="宋体"/>
                <w:szCs w:val="21"/>
              </w:rPr>
              <w:t>，</w:t>
            </w:r>
            <w:r>
              <w:rPr>
                <w:rFonts w:ascii="Times New Roman" w:hAnsi="Times New Roman" w:eastAsia="宋体"/>
                <w:szCs w:val="21"/>
              </w:rPr>
              <w:t>900-204-08</w:t>
            </w:r>
            <w:r>
              <w:rPr>
                <w:rFonts w:hint="eastAsia" w:ascii="Times New Roman" w:hAnsi="Times New Roman" w:eastAsia="宋体"/>
                <w:szCs w:val="21"/>
              </w:rPr>
              <w:t>，</w:t>
            </w:r>
            <w:r>
              <w:rPr>
                <w:rFonts w:ascii="Times New Roman" w:hAnsi="Times New Roman" w:eastAsia="宋体"/>
                <w:szCs w:val="21"/>
              </w:rPr>
              <w:t>900-205-08</w:t>
            </w:r>
            <w:r>
              <w:rPr>
                <w:rFonts w:hint="eastAsia" w:ascii="Times New Roman" w:hAnsi="Times New Roman" w:eastAsia="宋体"/>
                <w:szCs w:val="21"/>
              </w:rPr>
              <w:t>，</w:t>
            </w:r>
            <w:r>
              <w:rPr>
                <w:rFonts w:ascii="Times New Roman" w:hAnsi="Times New Roman" w:eastAsia="宋体"/>
                <w:szCs w:val="21"/>
              </w:rPr>
              <w:t>900-209-08</w:t>
            </w:r>
            <w:r>
              <w:rPr>
                <w:rFonts w:hint="eastAsia" w:ascii="Times New Roman" w:hAnsi="Times New Roman" w:eastAsia="宋体"/>
                <w:szCs w:val="21"/>
              </w:rPr>
              <w:t>，</w:t>
            </w:r>
            <w:r>
              <w:rPr>
                <w:rFonts w:ascii="Times New Roman" w:hAnsi="Times New Roman" w:eastAsia="宋体"/>
                <w:szCs w:val="21"/>
              </w:rPr>
              <w:t>900-210-08</w:t>
            </w:r>
            <w:r>
              <w:rPr>
                <w:rFonts w:hint="eastAsia" w:ascii="Times New Roman" w:hAnsi="Times New Roman" w:eastAsia="宋体"/>
                <w:szCs w:val="21"/>
              </w:rPr>
              <w:t>，</w:t>
            </w:r>
            <w:r>
              <w:rPr>
                <w:rFonts w:ascii="Times New Roman" w:hAnsi="Times New Roman" w:eastAsia="宋体"/>
                <w:szCs w:val="21"/>
              </w:rPr>
              <w:t>900-211-08</w:t>
            </w:r>
            <w:r>
              <w:rPr>
                <w:rFonts w:hint="eastAsia" w:ascii="Times New Roman" w:hAnsi="Times New Roman" w:eastAsia="宋体"/>
                <w:szCs w:val="21"/>
              </w:rPr>
              <w:t>，</w:t>
            </w:r>
            <w:r>
              <w:rPr>
                <w:rFonts w:ascii="Times New Roman" w:hAnsi="Times New Roman" w:eastAsia="宋体"/>
                <w:szCs w:val="21"/>
              </w:rPr>
              <w:t>900-212-08</w:t>
            </w:r>
            <w:r>
              <w:rPr>
                <w:rFonts w:hint="eastAsia" w:ascii="Times New Roman" w:hAnsi="Times New Roman" w:eastAsia="宋体"/>
                <w:szCs w:val="21"/>
              </w:rPr>
              <w:t>，</w:t>
            </w:r>
            <w:r>
              <w:rPr>
                <w:rFonts w:ascii="Times New Roman" w:hAnsi="Times New Roman" w:eastAsia="宋体"/>
                <w:szCs w:val="21"/>
              </w:rPr>
              <w:t>900-214-08</w:t>
            </w:r>
            <w:r>
              <w:rPr>
                <w:rFonts w:hint="eastAsia" w:ascii="Times New Roman" w:hAnsi="Times New Roman" w:eastAsia="宋体"/>
                <w:szCs w:val="21"/>
              </w:rPr>
              <w:t>，</w:t>
            </w:r>
            <w:r>
              <w:rPr>
                <w:rFonts w:ascii="Times New Roman" w:hAnsi="Times New Roman" w:eastAsia="宋体"/>
                <w:szCs w:val="21"/>
              </w:rPr>
              <w:t>900-216-08</w:t>
            </w:r>
            <w:r>
              <w:rPr>
                <w:rFonts w:hint="eastAsia" w:ascii="Times New Roman" w:hAnsi="Times New Roman" w:eastAsia="宋体"/>
                <w:szCs w:val="21"/>
              </w:rPr>
              <w:t>，</w:t>
            </w:r>
            <w:r>
              <w:rPr>
                <w:rFonts w:ascii="Times New Roman" w:hAnsi="Times New Roman" w:eastAsia="宋体"/>
                <w:szCs w:val="21"/>
              </w:rPr>
              <w:t>900-217-08</w:t>
            </w:r>
            <w:r>
              <w:rPr>
                <w:rFonts w:hint="eastAsia" w:ascii="Times New Roman" w:hAnsi="Times New Roman" w:eastAsia="宋体"/>
                <w:szCs w:val="21"/>
              </w:rPr>
              <w:t>，</w:t>
            </w:r>
            <w:r>
              <w:rPr>
                <w:rFonts w:ascii="Times New Roman" w:hAnsi="Times New Roman" w:eastAsia="宋体"/>
                <w:szCs w:val="21"/>
              </w:rPr>
              <w:t>900-218-08</w:t>
            </w:r>
            <w:r>
              <w:rPr>
                <w:rFonts w:hint="eastAsia" w:ascii="Times New Roman" w:hAnsi="Times New Roman" w:eastAsia="宋体"/>
                <w:szCs w:val="21"/>
              </w:rPr>
              <w:t>，</w:t>
            </w:r>
            <w:r>
              <w:rPr>
                <w:rFonts w:ascii="Times New Roman" w:hAnsi="Times New Roman" w:eastAsia="宋体"/>
                <w:szCs w:val="21"/>
              </w:rPr>
              <w:t>900-219-08</w:t>
            </w:r>
            <w:r>
              <w:rPr>
                <w:rFonts w:hint="eastAsia" w:ascii="Times New Roman" w:hAnsi="Times New Roman" w:eastAsia="宋体"/>
                <w:szCs w:val="21"/>
              </w:rPr>
              <w:t>，</w:t>
            </w:r>
            <w:r>
              <w:rPr>
                <w:rFonts w:ascii="Times New Roman" w:hAnsi="Times New Roman" w:eastAsia="宋体"/>
                <w:szCs w:val="21"/>
              </w:rPr>
              <w:t>900-220-08</w:t>
            </w:r>
            <w:r>
              <w:rPr>
                <w:rFonts w:hint="eastAsia" w:ascii="Times New Roman" w:hAnsi="Times New Roman" w:eastAsia="宋体"/>
                <w:szCs w:val="21"/>
              </w:rPr>
              <w:t>，</w:t>
            </w:r>
            <w:r>
              <w:rPr>
                <w:rFonts w:ascii="Times New Roman" w:hAnsi="Times New Roman" w:eastAsia="宋体"/>
                <w:szCs w:val="21"/>
              </w:rPr>
              <w:t>900-222-08</w:t>
            </w:r>
            <w:r>
              <w:rPr>
                <w:rFonts w:hint="eastAsia" w:ascii="Times New Roman" w:hAnsi="Times New Roman" w:eastAsia="宋体"/>
                <w:szCs w:val="21"/>
              </w:rPr>
              <w:t>，</w:t>
            </w:r>
            <w:r>
              <w:rPr>
                <w:rFonts w:ascii="Times New Roman" w:hAnsi="Times New Roman" w:eastAsia="宋体"/>
                <w:szCs w:val="21"/>
              </w:rPr>
              <w:t>900-249-08</w:t>
            </w:r>
          </w:p>
          <w:p>
            <w:pPr>
              <w:spacing w:line="240" w:lineRule="exact"/>
              <w:rPr>
                <w:rFonts w:ascii="Times New Roman" w:hAnsi="Times New Roman" w:eastAsia="宋体"/>
                <w:szCs w:val="21"/>
              </w:rPr>
            </w:pPr>
            <w:r>
              <w:rPr>
                <w:rFonts w:hint="eastAsia" w:ascii="Times New Roman" w:hAnsi="Times New Roman" w:eastAsia="宋体"/>
                <w:szCs w:val="21"/>
              </w:rPr>
              <w:t>共20种类别废矿物油</w:t>
            </w:r>
          </w:p>
        </w:tc>
        <w:tc>
          <w:tcPr>
            <w:tcW w:w="3096" w:type="dxa"/>
            <w:vAlign w:val="center"/>
          </w:tcPr>
          <w:p>
            <w:pPr>
              <w:spacing w:line="240" w:lineRule="exact"/>
              <w:rPr>
                <w:rFonts w:ascii="Times New Roman" w:hAnsi="Times New Roman" w:eastAsia="宋体"/>
                <w:szCs w:val="21"/>
              </w:rPr>
            </w:pPr>
            <w:r>
              <w:rPr>
                <w:rFonts w:ascii="Times New Roman" w:hAnsi="Times New Roman" w:eastAsia="宋体"/>
                <w:szCs w:val="21"/>
              </w:rPr>
              <w:t>900-199-08</w:t>
            </w:r>
            <w:r>
              <w:rPr>
                <w:rFonts w:hint="eastAsia" w:ascii="Times New Roman" w:hAnsi="Times New Roman" w:eastAsia="宋体"/>
                <w:szCs w:val="21"/>
              </w:rPr>
              <w:t>，</w:t>
            </w:r>
            <w:r>
              <w:rPr>
                <w:rFonts w:ascii="Times New Roman" w:hAnsi="Times New Roman" w:eastAsia="宋体"/>
                <w:szCs w:val="21"/>
              </w:rPr>
              <w:t>900-200-08</w:t>
            </w:r>
            <w:r>
              <w:rPr>
                <w:rFonts w:hint="eastAsia" w:ascii="Times New Roman" w:hAnsi="Times New Roman" w:eastAsia="宋体"/>
                <w:szCs w:val="21"/>
              </w:rPr>
              <w:t>，</w:t>
            </w:r>
            <w:r>
              <w:rPr>
                <w:rFonts w:ascii="Times New Roman" w:hAnsi="Times New Roman" w:eastAsia="宋体"/>
                <w:szCs w:val="21"/>
              </w:rPr>
              <w:t>900-201-08</w:t>
            </w:r>
            <w:r>
              <w:rPr>
                <w:rFonts w:hint="eastAsia" w:ascii="Times New Roman" w:hAnsi="Times New Roman" w:eastAsia="宋体"/>
                <w:szCs w:val="21"/>
              </w:rPr>
              <w:t>，</w:t>
            </w:r>
            <w:r>
              <w:rPr>
                <w:rFonts w:ascii="Times New Roman" w:hAnsi="Times New Roman" w:eastAsia="宋体"/>
                <w:szCs w:val="21"/>
              </w:rPr>
              <w:t>900-203-08</w:t>
            </w:r>
            <w:r>
              <w:rPr>
                <w:rFonts w:hint="eastAsia" w:ascii="Times New Roman" w:hAnsi="Times New Roman" w:eastAsia="宋体"/>
                <w:szCs w:val="21"/>
              </w:rPr>
              <w:t>，</w:t>
            </w:r>
            <w:r>
              <w:rPr>
                <w:rFonts w:ascii="Times New Roman" w:hAnsi="Times New Roman" w:eastAsia="宋体"/>
                <w:szCs w:val="21"/>
              </w:rPr>
              <w:t>900-204-08</w:t>
            </w:r>
            <w:r>
              <w:rPr>
                <w:rFonts w:hint="eastAsia" w:ascii="Times New Roman" w:hAnsi="Times New Roman" w:eastAsia="宋体"/>
                <w:szCs w:val="21"/>
              </w:rPr>
              <w:t>，</w:t>
            </w:r>
            <w:r>
              <w:rPr>
                <w:rFonts w:ascii="Times New Roman" w:hAnsi="Times New Roman" w:eastAsia="宋体"/>
                <w:szCs w:val="21"/>
              </w:rPr>
              <w:t>900-205-08</w:t>
            </w:r>
            <w:r>
              <w:rPr>
                <w:rFonts w:hint="eastAsia" w:ascii="Times New Roman" w:hAnsi="Times New Roman" w:eastAsia="宋体"/>
                <w:szCs w:val="21"/>
              </w:rPr>
              <w:t>，</w:t>
            </w:r>
            <w:r>
              <w:rPr>
                <w:rFonts w:ascii="Times New Roman" w:hAnsi="Times New Roman" w:eastAsia="宋体"/>
                <w:szCs w:val="21"/>
              </w:rPr>
              <w:t>900-209-08</w:t>
            </w:r>
            <w:r>
              <w:rPr>
                <w:rFonts w:hint="eastAsia" w:ascii="Times New Roman" w:hAnsi="Times New Roman" w:eastAsia="宋体"/>
                <w:szCs w:val="21"/>
              </w:rPr>
              <w:t>，</w:t>
            </w:r>
            <w:r>
              <w:rPr>
                <w:rFonts w:ascii="Times New Roman" w:hAnsi="Times New Roman" w:eastAsia="宋体"/>
                <w:szCs w:val="21"/>
              </w:rPr>
              <w:t>900-210-08</w:t>
            </w:r>
            <w:r>
              <w:rPr>
                <w:rFonts w:hint="eastAsia" w:ascii="Times New Roman" w:hAnsi="Times New Roman" w:eastAsia="宋体"/>
                <w:szCs w:val="21"/>
              </w:rPr>
              <w:t>，</w:t>
            </w:r>
            <w:r>
              <w:rPr>
                <w:rFonts w:ascii="Times New Roman" w:hAnsi="Times New Roman" w:eastAsia="宋体"/>
                <w:szCs w:val="21"/>
              </w:rPr>
              <w:t>900-211-08</w:t>
            </w:r>
            <w:r>
              <w:rPr>
                <w:rFonts w:hint="eastAsia" w:ascii="Times New Roman" w:hAnsi="Times New Roman" w:eastAsia="宋体"/>
                <w:szCs w:val="21"/>
              </w:rPr>
              <w:t>，</w:t>
            </w:r>
            <w:r>
              <w:rPr>
                <w:rFonts w:ascii="Times New Roman" w:hAnsi="Times New Roman" w:eastAsia="宋体"/>
                <w:szCs w:val="21"/>
              </w:rPr>
              <w:t>900-212-08</w:t>
            </w:r>
            <w:r>
              <w:rPr>
                <w:rFonts w:hint="eastAsia" w:ascii="Times New Roman" w:hAnsi="Times New Roman" w:eastAsia="宋体"/>
                <w:szCs w:val="21"/>
              </w:rPr>
              <w:t>，</w:t>
            </w:r>
            <w:r>
              <w:rPr>
                <w:rFonts w:ascii="Times New Roman" w:hAnsi="Times New Roman" w:eastAsia="宋体"/>
                <w:szCs w:val="21"/>
              </w:rPr>
              <w:t>900-214-08</w:t>
            </w:r>
            <w:r>
              <w:rPr>
                <w:rFonts w:hint="eastAsia" w:ascii="Times New Roman" w:hAnsi="Times New Roman" w:eastAsia="宋体"/>
                <w:szCs w:val="21"/>
              </w:rPr>
              <w:t>，</w:t>
            </w:r>
            <w:r>
              <w:rPr>
                <w:rFonts w:ascii="Times New Roman" w:hAnsi="Times New Roman" w:eastAsia="宋体"/>
                <w:szCs w:val="21"/>
              </w:rPr>
              <w:t>900-216-08</w:t>
            </w:r>
            <w:r>
              <w:rPr>
                <w:rFonts w:hint="eastAsia" w:ascii="Times New Roman" w:hAnsi="Times New Roman" w:eastAsia="宋体"/>
                <w:szCs w:val="21"/>
              </w:rPr>
              <w:t>，</w:t>
            </w:r>
            <w:r>
              <w:rPr>
                <w:rFonts w:ascii="Times New Roman" w:hAnsi="Times New Roman" w:eastAsia="宋体"/>
                <w:szCs w:val="21"/>
              </w:rPr>
              <w:t>900-217-08</w:t>
            </w:r>
            <w:r>
              <w:rPr>
                <w:rFonts w:hint="eastAsia" w:ascii="Times New Roman" w:hAnsi="Times New Roman" w:eastAsia="宋体"/>
                <w:szCs w:val="21"/>
              </w:rPr>
              <w:t>，</w:t>
            </w:r>
            <w:r>
              <w:rPr>
                <w:rFonts w:ascii="Times New Roman" w:hAnsi="Times New Roman" w:eastAsia="宋体"/>
                <w:szCs w:val="21"/>
              </w:rPr>
              <w:t>900-218-08</w:t>
            </w:r>
            <w:r>
              <w:rPr>
                <w:rFonts w:hint="eastAsia" w:ascii="Times New Roman" w:hAnsi="Times New Roman" w:eastAsia="宋体"/>
                <w:szCs w:val="21"/>
              </w:rPr>
              <w:t>，</w:t>
            </w:r>
            <w:r>
              <w:rPr>
                <w:rFonts w:ascii="Times New Roman" w:hAnsi="Times New Roman" w:eastAsia="宋体"/>
                <w:szCs w:val="21"/>
              </w:rPr>
              <w:t>900-219-08</w:t>
            </w:r>
            <w:r>
              <w:rPr>
                <w:rFonts w:hint="eastAsia" w:ascii="Times New Roman" w:hAnsi="Times New Roman" w:eastAsia="宋体"/>
                <w:szCs w:val="21"/>
              </w:rPr>
              <w:t>，</w:t>
            </w:r>
            <w:r>
              <w:rPr>
                <w:rFonts w:ascii="Times New Roman" w:hAnsi="Times New Roman" w:eastAsia="宋体"/>
                <w:szCs w:val="21"/>
              </w:rPr>
              <w:t>900-220-08</w:t>
            </w:r>
            <w:r>
              <w:rPr>
                <w:rFonts w:hint="eastAsia" w:ascii="Times New Roman" w:hAnsi="Times New Roman" w:eastAsia="宋体"/>
                <w:szCs w:val="21"/>
              </w:rPr>
              <w:t>，</w:t>
            </w:r>
            <w:r>
              <w:rPr>
                <w:rFonts w:ascii="Times New Roman" w:hAnsi="Times New Roman" w:eastAsia="宋体"/>
                <w:szCs w:val="21"/>
              </w:rPr>
              <w:t>900-222-08</w:t>
            </w:r>
            <w:r>
              <w:rPr>
                <w:rFonts w:hint="eastAsia" w:ascii="Times New Roman" w:hAnsi="Times New Roman" w:eastAsia="宋体"/>
                <w:szCs w:val="21"/>
              </w:rPr>
              <w:t>，</w:t>
            </w:r>
            <w:r>
              <w:rPr>
                <w:rFonts w:ascii="Times New Roman" w:hAnsi="Times New Roman" w:eastAsia="宋体"/>
                <w:szCs w:val="21"/>
              </w:rPr>
              <w:t>900-249-08</w:t>
            </w:r>
          </w:p>
          <w:p>
            <w:pPr>
              <w:spacing w:line="240" w:lineRule="exact"/>
              <w:rPr>
                <w:rFonts w:ascii="Times New Roman" w:hAnsi="Times New Roman" w:eastAsia="宋体"/>
                <w:szCs w:val="21"/>
              </w:rPr>
            </w:pPr>
            <w:r>
              <w:rPr>
                <w:rFonts w:hint="eastAsia" w:ascii="Times New Roman" w:hAnsi="Times New Roman" w:eastAsia="宋体"/>
                <w:szCs w:val="21"/>
              </w:rPr>
              <w:t>共</w:t>
            </w:r>
            <w:r>
              <w:rPr>
                <w:rFonts w:ascii="Times New Roman" w:hAnsi="Times New Roman" w:eastAsia="宋体"/>
                <w:szCs w:val="21"/>
              </w:rPr>
              <w:t>18</w:t>
            </w:r>
            <w:r>
              <w:rPr>
                <w:rFonts w:hint="eastAsia" w:ascii="Times New Roman" w:hAnsi="Times New Roman" w:eastAsia="宋体"/>
                <w:szCs w:val="21"/>
              </w:rPr>
              <w:t>种类别废矿物油</w:t>
            </w:r>
          </w:p>
        </w:tc>
        <w:tc>
          <w:tcPr>
            <w:tcW w:w="1503"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去掉</w:t>
            </w:r>
            <w:r>
              <w:rPr>
                <w:rFonts w:ascii="Times New Roman" w:hAnsi="Times New Roman" w:eastAsia="宋体"/>
                <w:szCs w:val="21"/>
              </w:rPr>
              <w:t>251-001-08</w:t>
            </w:r>
            <w:r>
              <w:rPr>
                <w:rFonts w:hint="eastAsia" w:ascii="Times New Roman" w:hAnsi="Times New Roman" w:eastAsia="宋体"/>
                <w:szCs w:val="21"/>
              </w:rPr>
              <w:t>和</w:t>
            </w:r>
            <w:r>
              <w:rPr>
                <w:rFonts w:ascii="Times New Roman" w:hAnsi="Times New Roman" w:eastAsia="宋体"/>
                <w:szCs w:val="21"/>
              </w:rPr>
              <w:t>251-005-08</w:t>
            </w:r>
            <w:r>
              <w:rPr>
                <w:rFonts w:hint="eastAsia" w:ascii="Times New Roman" w:hAnsi="Times New Roman" w:eastAsia="宋体"/>
                <w:szCs w:val="21"/>
              </w:rPr>
              <w:t>两个类别，</w:t>
            </w:r>
            <w:r>
              <w:rPr>
                <w:rFonts w:ascii="Times New Roman" w:hAnsi="Times New Roman" w:eastAsia="宋体"/>
                <w:szCs w:val="21"/>
              </w:rPr>
              <w:t>251-001-08</w:t>
            </w:r>
            <w:r>
              <w:rPr>
                <w:rFonts w:hint="eastAsia" w:ascii="Times New Roman" w:hAnsi="Times New Roman" w:eastAsia="宋体"/>
                <w:szCs w:val="21"/>
              </w:rPr>
              <w:t>清洗矿物油储存、输送设施过程中产生的油</w:t>
            </w:r>
            <w:r>
              <w:rPr>
                <w:rFonts w:ascii="Times New Roman" w:hAnsi="Times New Roman" w:eastAsia="宋体"/>
                <w:szCs w:val="21"/>
              </w:rPr>
              <w:t>/</w:t>
            </w:r>
            <w:r>
              <w:rPr>
                <w:rFonts w:hint="eastAsia" w:ascii="Times New Roman" w:hAnsi="Times New Roman" w:eastAsia="宋体"/>
                <w:szCs w:val="21"/>
              </w:rPr>
              <w:t>水和烃</w:t>
            </w:r>
            <w:r>
              <w:rPr>
                <w:rFonts w:ascii="Times New Roman" w:hAnsi="Times New Roman" w:eastAsia="宋体"/>
                <w:szCs w:val="21"/>
              </w:rPr>
              <w:t>/</w:t>
            </w:r>
            <w:r>
              <w:rPr>
                <w:rFonts w:hint="eastAsia" w:ascii="Times New Roman" w:hAnsi="Times New Roman" w:eastAsia="宋体"/>
                <w:szCs w:val="21"/>
              </w:rPr>
              <w:t>水混合物，</w:t>
            </w:r>
            <w:r>
              <w:rPr>
                <w:rFonts w:ascii="Times New Roman" w:hAnsi="Times New Roman" w:eastAsia="宋体"/>
                <w:szCs w:val="21"/>
              </w:rPr>
              <w:t>251-005-08</w:t>
            </w:r>
            <w:r>
              <w:rPr>
                <w:rFonts w:hint="eastAsia" w:ascii="Times New Roman" w:hAnsi="Times New Roman" w:eastAsia="宋体"/>
                <w:szCs w:val="21"/>
              </w:rPr>
              <w:t>石油炼制过程中产生的溢出废油或乳剂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46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辅料</w:t>
            </w:r>
          </w:p>
        </w:tc>
        <w:tc>
          <w:tcPr>
            <w:tcW w:w="323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szCs w:val="21"/>
              </w:rPr>
              <w:t>废矿物油与含矿物油废物、</w:t>
            </w:r>
            <w:r>
              <w:rPr>
                <w:rFonts w:ascii="Times New Roman" w:hAnsi="Times New Roman" w:eastAsia="宋体"/>
                <w:szCs w:val="21"/>
              </w:rPr>
              <w:t>丙烷</w:t>
            </w:r>
            <w:r>
              <w:rPr>
                <w:rFonts w:hint="eastAsia" w:ascii="Times New Roman" w:hAnsi="Times New Roman" w:eastAsia="宋体"/>
                <w:szCs w:val="21"/>
              </w:rPr>
              <w:t>、</w:t>
            </w:r>
            <w:r>
              <w:rPr>
                <w:rFonts w:ascii="Times New Roman" w:hAnsi="Times New Roman" w:eastAsia="宋体"/>
                <w:szCs w:val="21"/>
              </w:rPr>
              <w:t>糠醛</w:t>
            </w:r>
            <w:r>
              <w:rPr>
                <w:rFonts w:hint="eastAsia" w:ascii="Times New Roman" w:hAnsi="Times New Roman" w:eastAsia="宋体"/>
                <w:szCs w:val="21"/>
              </w:rPr>
              <w:t>、</w:t>
            </w:r>
            <w:r>
              <w:rPr>
                <w:rFonts w:ascii="Times New Roman" w:hAnsi="Times New Roman" w:eastAsia="宋体"/>
                <w:szCs w:val="21"/>
              </w:rPr>
              <w:t>分子筛</w:t>
            </w:r>
          </w:p>
        </w:tc>
        <w:tc>
          <w:tcPr>
            <w:tcW w:w="309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szCs w:val="21"/>
              </w:rPr>
              <w:t>废矿物油与含矿物油废物、</w:t>
            </w:r>
            <w:r>
              <w:rPr>
                <w:rFonts w:ascii="Times New Roman" w:hAnsi="Times New Roman" w:eastAsia="宋体"/>
                <w:szCs w:val="21"/>
              </w:rPr>
              <w:t>丙烷</w:t>
            </w:r>
            <w:r>
              <w:rPr>
                <w:rFonts w:hint="eastAsia" w:ascii="Times New Roman" w:hAnsi="Times New Roman" w:eastAsia="宋体"/>
                <w:szCs w:val="21"/>
              </w:rPr>
              <w:t>、</w:t>
            </w:r>
            <w:r>
              <w:rPr>
                <w:rFonts w:ascii="Times New Roman" w:hAnsi="Times New Roman" w:eastAsia="宋体"/>
                <w:szCs w:val="21"/>
              </w:rPr>
              <w:t>分子筛</w:t>
            </w:r>
          </w:p>
        </w:tc>
        <w:tc>
          <w:tcPr>
            <w:tcW w:w="1503"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szCs w:val="21"/>
              </w:rPr>
              <w:t>去掉糠醛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工艺</w:t>
            </w:r>
          </w:p>
        </w:tc>
        <w:tc>
          <w:tcPr>
            <w:tcW w:w="323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预处理（</w:t>
            </w:r>
            <w:r>
              <w:rPr>
                <w:rFonts w:ascii="Times New Roman" w:hAnsi="Times New Roman" w:eastAsia="宋体" w:cs="Times New Roman"/>
                <w:szCs w:val="21"/>
              </w:rPr>
              <w:t>脱固脱水、脱油泥、薄膜蒸发及轻重烃分离</w:t>
            </w:r>
            <w:r>
              <w:rPr>
                <w:rFonts w:hint="eastAsia" w:ascii="Times New Roman" w:hAnsi="Times New Roman" w:eastAsia="宋体" w:cs="Times New Roman"/>
                <w:szCs w:val="21"/>
              </w:rPr>
              <w:t>）+精制（</w:t>
            </w:r>
            <w:r>
              <w:rPr>
                <w:rFonts w:ascii="Times New Roman" w:hAnsi="Times New Roman" w:eastAsia="宋体" w:cs="Times New Roman"/>
                <w:szCs w:val="21"/>
              </w:rPr>
              <w:t>丙烷脱沥青、糠醛精制及分子筛吸附</w:t>
            </w:r>
            <w:r>
              <w:rPr>
                <w:rFonts w:hint="eastAsia" w:ascii="Times New Roman" w:hAnsi="Times New Roman" w:eastAsia="宋体" w:cs="Times New Roman"/>
                <w:szCs w:val="21"/>
              </w:rPr>
              <w:t>）+减压蒸馏</w:t>
            </w:r>
          </w:p>
        </w:tc>
        <w:tc>
          <w:tcPr>
            <w:tcW w:w="309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预处理（</w:t>
            </w:r>
            <w:r>
              <w:rPr>
                <w:rFonts w:ascii="Times New Roman" w:hAnsi="Times New Roman" w:eastAsia="宋体" w:cs="Times New Roman"/>
                <w:szCs w:val="21"/>
              </w:rPr>
              <w:t>脱固脱水、轻重烃分离</w:t>
            </w:r>
            <w:r>
              <w:rPr>
                <w:rFonts w:hint="eastAsia" w:ascii="Times New Roman" w:hAnsi="Times New Roman" w:eastAsia="宋体" w:cs="Times New Roman"/>
                <w:szCs w:val="21"/>
              </w:rPr>
              <w:t>）+</w:t>
            </w:r>
            <w:r>
              <w:rPr>
                <w:rFonts w:ascii="Times New Roman" w:hAnsi="Times New Roman" w:eastAsia="宋体" w:cs="Times New Roman"/>
                <w:szCs w:val="21"/>
              </w:rPr>
              <w:t>丙烷脱沥青</w:t>
            </w:r>
            <w:r>
              <w:rPr>
                <w:rFonts w:hint="eastAsia" w:ascii="Times New Roman" w:hAnsi="Times New Roman" w:eastAsia="宋体" w:cs="Times New Roman"/>
                <w:szCs w:val="21"/>
              </w:rPr>
              <w:t>+减压蒸馏</w:t>
            </w:r>
            <w:r>
              <w:rPr>
                <w:rFonts w:ascii="Times New Roman" w:hAnsi="Times New Roman" w:eastAsia="宋体" w:cs="Times New Roman"/>
                <w:szCs w:val="21"/>
              </w:rPr>
              <w:t>+分子筛吸附</w:t>
            </w:r>
          </w:p>
        </w:tc>
        <w:tc>
          <w:tcPr>
            <w:tcW w:w="1503"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优化了工艺路线，增加了操作稳定性；</w:t>
            </w:r>
            <w:r>
              <w:rPr>
                <w:rFonts w:ascii="Times New Roman" w:hAnsi="Times New Roman" w:eastAsia="宋体" w:cs="Times New Roman"/>
                <w:szCs w:val="21"/>
              </w:rPr>
              <w:t>减少了废水及废气的产污节点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46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供热</w:t>
            </w:r>
          </w:p>
        </w:tc>
        <w:tc>
          <w:tcPr>
            <w:tcW w:w="323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kern w:val="0"/>
                <w:szCs w:val="21"/>
              </w:rPr>
              <w:t>1台9800kw熔盐炉</w:t>
            </w:r>
          </w:p>
        </w:tc>
        <w:tc>
          <w:tcPr>
            <w:tcW w:w="309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kern w:val="0"/>
                <w:szCs w:val="21"/>
              </w:rPr>
              <w:t>1台9800kw导热油炉</w:t>
            </w:r>
          </w:p>
        </w:tc>
        <w:tc>
          <w:tcPr>
            <w:tcW w:w="1503"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易于维护，</w:t>
            </w:r>
            <w:r>
              <w:rPr>
                <w:rFonts w:ascii="Times New Roman" w:hAnsi="Times New Roman" w:eastAsia="宋体" w:cs="Times New Roman"/>
                <w:szCs w:val="21"/>
              </w:rPr>
              <w:t>温控</w:t>
            </w:r>
            <w:r>
              <w:rPr>
                <w:rFonts w:hint="eastAsia" w:ascii="Times New Roman" w:hAnsi="Times New Roman" w:eastAsia="宋体" w:cs="Times New Roman"/>
                <w:szCs w:val="21"/>
              </w:rPr>
              <w:t>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46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环保措施</w:t>
            </w:r>
          </w:p>
        </w:tc>
        <w:tc>
          <w:tcPr>
            <w:tcW w:w="3235" w:type="dxa"/>
            <w:vAlign w:val="center"/>
          </w:tcPr>
          <w:p>
            <w:pPr>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污水处理：</w:t>
            </w:r>
            <w:r>
              <w:rPr>
                <w:rFonts w:ascii="Times New Roman" w:hAnsi="Times New Roman" w:eastAsia="宋体" w:cs="Times New Roman"/>
                <w:kern w:val="0"/>
                <w:szCs w:val="21"/>
              </w:rPr>
              <w:t>200m</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/d</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隔油+油水分离+混凝沉淀+气浮+高级氧化+水解酸化+UASB+A/O+MBR</w:t>
            </w:r>
          </w:p>
        </w:tc>
        <w:tc>
          <w:tcPr>
            <w:tcW w:w="3096" w:type="dxa"/>
            <w:vAlign w:val="center"/>
          </w:tcPr>
          <w:p>
            <w:pPr>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污水处理：</w:t>
            </w:r>
            <w:r>
              <w:rPr>
                <w:rFonts w:ascii="Times New Roman" w:hAnsi="Times New Roman" w:eastAsia="宋体" w:cs="Times New Roman"/>
                <w:kern w:val="0"/>
                <w:szCs w:val="21"/>
              </w:rPr>
              <w:t>200m</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/d</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隔油+气浮+ UASB+A/O</w:t>
            </w:r>
          </w:p>
        </w:tc>
        <w:tc>
          <w:tcPr>
            <w:tcW w:w="1503" w:type="dxa"/>
            <w:vAlign w:val="center"/>
          </w:tcPr>
          <w:p>
            <w:pPr>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减少了糠醛废水，进水水质发生变化，工艺调整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46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环境风险</w:t>
            </w:r>
          </w:p>
        </w:tc>
        <w:tc>
          <w:tcPr>
            <w:tcW w:w="3235" w:type="dxa"/>
            <w:vAlign w:val="center"/>
          </w:tcPr>
          <w:p>
            <w:pPr>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2000m</w:t>
            </w:r>
            <w:r>
              <w:rPr>
                <w:rFonts w:ascii="Times New Roman" w:hAnsi="Times New Roman" w:eastAsia="宋体" w:cs="Times New Roman"/>
                <w:kern w:val="0"/>
                <w:szCs w:val="21"/>
                <w:vertAlign w:val="superscript"/>
              </w:rPr>
              <w:t xml:space="preserve">3 </w:t>
            </w:r>
            <w:r>
              <w:rPr>
                <w:rFonts w:ascii="Times New Roman" w:hAnsi="Times New Roman" w:eastAsia="宋体" w:cs="Times New Roman"/>
                <w:kern w:val="0"/>
                <w:szCs w:val="21"/>
              </w:rPr>
              <w:t>事故池兼初期雨水池</w:t>
            </w:r>
          </w:p>
        </w:tc>
        <w:tc>
          <w:tcPr>
            <w:tcW w:w="3096" w:type="dxa"/>
            <w:vAlign w:val="center"/>
          </w:tcPr>
          <w:p>
            <w:pPr>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2000m</w:t>
            </w:r>
            <w:r>
              <w:rPr>
                <w:rFonts w:ascii="Times New Roman" w:hAnsi="Times New Roman" w:eastAsia="宋体" w:cs="Times New Roman"/>
                <w:kern w:val="0"/>
                <w:szCs w:val="21"/>
                <w:vertAlign w:val="superscript"/>
              </w:rPr>
              <w:t xml:space="preserve">3 </w:t>
            </w:r>
            <w:r>
              <w:rPr>
                <w:rFonts w:ascii="Times New Roman" w:hAnsi="Times New Roman" w:eastAsia="宋体" w:cs="Times New Roman"/>
                <w:kern w:val="0"/>
                <w:szCs w:val="21"/>
              </w:rPr>
              <w:t>事故池兼初期雨水池</w:t>
            </w:r>
            <w:r>
              <w:rPr>
                <w:rFonts w:hint="eastAsia" w:ascii="Times New Roman" w:hAnsi="Times New Roman" w:eastAsia="宋体" w:cs="Times New Roman"/>
                <w:kern w:val="0"/>
                <w:szCs w:val="21"/>
              </w:rPr>
              <w:t>，新增200</w:t>
            </w:r>
            <w:r>
              <w:rPr>
                <w:rFonts w:ascii="Times New Roman" w:hAnsi="Times New Roman" w:eastAsia="宋体" w:cs="Times New Roman"/>
                <w:kern w:val="0"/>
                <w:szCs w:val="21"/>
              </w:rPr>
              <w:t>m</w:t>
            </w:r>
            <w:r>
              <w:rPr>
                <w:rFonts w:ascii="Times New Roman" w:hAnsi="Times New Roman" w:eastAsia="宋体" w:cs="Times New Roman"/>
                <w:kern w:val="0"/>
                <w:szCs w:val="21"/>
                <w:vertAlign w:val="superscript"/>
              </w:rPr>
              <w:t>3</w:t>
            </w:r>
            <w:r>
              <w:rPr>
                <w:rFonts w:hint="eastAsia" w:ascii="Times New Roman" w:hAnsi="Times New Roman" w:eastAsia="宋体" w:cs="Times New Roman"/>
                <w:kern w:val="0"/>
                <w:szCs w:val="21"/>
              </w:rPr>
              <w:t>原料罐区初期雨水收集池</w:t>
            </w:r>
          </w:p>
        </w:tc>
        <w:tc>
          <w:tcPr>
            <w:tcW w:w="1503"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kern w:val="0"/>
                <w:szCs w:val="21"/>
              </w:rPr>
              <w:t>为后期建设预留余量</w:t>
            </w:r>
          </w:p>
        </w:tc>
      </w:tr>
    </w:tbl>
    <w:p>
      <w:pPr>
        <w:spacing w:line="480" w:lineRule="exact"/>
        <w:ind w:firstLine="480" w:firstLineChars="200"/>
        <w:rPr>
          <w:rFonts w:ascii="Times New Roman" w:hAnsi="Times New Roman" w:eastAsia="宋体" w:cs="Times New Roman"/>
          <w:sz w:val="24"/>
          <w:szCs w:val="24"/>
        </w:rPr>
      </w:pP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根据《关于印发环评管理中部分行业建设项目重大变动清单的通知</w:t>
      </w:r>
      <w:r>
        <w:rPr>
          <w:rFonts w:ascii="Times New Roman" w:hAnsi="Times New Roman" w:eastAsia="宋体" w:cs="Times New Roman"/>
          <w:sz w:val="24"/>
          <w:szCs w:val="24"/>
        </w:rPr>
        <w:t>》</w:t>
      </w:r>
      <w:r>
        <w:rPr>
          <w:rFonts w:hint="eastAsia" w:ascii="Times New Roman" w:hAnsi="Times New Roman" w:eastAsia="宋体" w:cs="Times New Roman"/>
          <w:sz w:val="24"/>
          <w:szCs w:val="24"/>
        </w:rPr>
        <w:t>（环境保护部办公厅 环办[</w:t>
      </w:r>
      <w:r>
        <w:rPr>
          <w:rFonts w:ascii="Times New Roman" w:hAnsi="Times New Roman" w:eastAsia="宋体" w:cs="Times New Roman"/>
          <w:sz w:val="24"/>
          <w:szCs w:val="24"/>
        </w:rPr>
        <w:t>2015</w:t>
      </w:r>
      <w:r>
        <w:rPr>
          <w:rFonts w:hint="eastAsia" w:ascii="Times New Roman" w:hAnsi="Times New Roman" w:eastAsia="宋体" w:cs="Times New Roman"/>
          <w:sz w:val="24"/>
          <w:szCs w:val="24"/>
        </w:rPr>
        <w:t>]</w:t>
      </w:r>
      <w:r>
        <w:rPr>
          <w:rFonts w:ascii="Times New Roman" w:hAnsi="Times New Roman" w:eastAsia="宋体" w:cs="Times New Roman"/>
          <w:sz w:val="24"/>
          <w:szCs w:val="24"/>
        </w:rPr>
        <w:t>52</w:t>
      </w:r>
      <w:r>
        <w:rPr>
          <w:rFonts w:hint="eastAsia" w:ascii="Times New Roman" w:hAnsi="Times New Roman" w:eastAsia="宋体" w:cs="Times New Roman"/>
          <w:sz w:val="24"/>
          <w:szCs w:val="24"/>
        </w:rPr>
        <w:t>号，</w:t>
      </w:r>
      <w:r>
        <w:rPr>
          <w:rFonts w:ascii="Times New Roman" w:hAnsi="Times New Roman" w:eastAsia="宋体" w:cs="Times New Roman"/>
          <w:sz w:val="24"/>
          <w:szCs w:val="24"/>
        </w:rPr>
        <w:t>以下</w:t>
      </w:r>
      <w:r>
        <w:rPr>
          <w:rFonts w:hint="eastAsia" w:ascii="Times New Roman" w:hAnsi="Times New Roman" w:eastAsia="宋体" w:cs="Times New Roman"/>
          <w:sz w:val="24"/>
          <w:szCs w:val="24"/>
        </w:rPr>
        <w:t>简称《通知</w:t>
      </w:r>
      <w:r>
        <w:rPr>
          <w:rFonts w:ascii="Times New Roman" w:hAnsi="Times New Roman" w:eastAsia="宋体" w:cs="Times New Roman"/>
          <w:sz w:val="24"/>
          <w:szCs w:val="24"/>
        </w:rPr>
        <w:t>》）</w:t>
      </w:r>
      <w:r>
        <w:rPr>
          <w:rFonts w:hint="eastAsia" w:ascii="Times New Roman" w:hAnsi="Times New Roman" w:eastAsia="宋体" w:cs="Times New Roman"/>
          <w:sz w:val="24"/>
          <w:szCs w:val="24"/>
        </w:rPr>
        <w:t>规定，“</w:t>
      </w:r>
      <w:r>
        <w:rPr>
          <w:rFonts w:ascii="Times New Roman" w:hAnsi="Times New Roman" w:eastAsia="宋体" w:cs="Times New Roman"/>
          <w:sz w:val="24"/>
          <w:szCs w:val="24"/>
        </w:rPr>
        <w:t>建设项目的性质、规模、地点、生产工艺和环境保护措施五个因素中的一项或一项以上发生重大变动，且可能导致环境影响显著变化（特别是不利环境影响加重）的，界定为重大变动”</w:t>
      </w:r>
      <w:r>
        <w:rPr>
          <w:rFonts w:hint="eastAsia" w:ascii="Times New Roman" w:hAnsi="Times New Roman" w:eastAsia="宋体" w:cs="Times New Roman"/>
          <w:sz w:val="24"/>
          <w:szCs w:val="24"/>
        </w:rPr>
        <w:t>，《通知</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中给出的《石油炼制与石油化工建设项目重大变动清单（试行）》中规定“生产装置工艺调整或原辅材料、</w:t>
      </w:r>
      <w:r>
        <w:rPr>
          <w:rFonts w:ascii="Times New Roman" w:hAnsi="Times New Roman" w:eastAsia="宋体" w:cs="Times New Roman"/>
          <w:sz w:val="24"/>
          <w:szCs w:val="24"/>
        </w:rPr>
        <w:t>燃料</w:t>
      </w:r>
      <w:r>
        <w:rPr>
          <w:rFonts w:hint="eastAsia" w:ascii="Times New Roman" w:hAnsi="Times New Roman" w:eastAsia="宋体" w:cs="Times New Roman"/>
          <w:sz w:val="24"/>
          <w:szCs w:val="24"/>
        </w:rPr>
        <w:t>调整，导致新增污染因子或污染物排放量增加</w:t>
      </w:r>
      <w:r>
        <w:rPr>
          <w:rFonts w:ascii="Times New Roman" w:hAnsi="Times New Roman" w:eastAsia="宋体" w:cs="Times New Roman"/>
          <w:sz w:val="24"/>
          <w:szCs w:val="24"/>
        </w:rPr>
        <w:t>”</w:t>
      </w:r>
      <w:r>
        <w:rPr>
          <w:rFonts w:hint="eastAsia" w:ascii="Times New Roman" w:hAnsi="Times New Roman" w:eastAsia="宋体" w:cs="Times New Roman"/>
          <w:sz w:val="24"/>
          <w:szCs w:val="24"/>
        </w:rPr>
        <w:t>属于重大变动</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本项目</w:t>
      </w:r>
      <w:r>
        <w:rPr>
          <w:rFonts w:hint="eastAsia" w:ascii="Times New Roman" w:hAnsi="Times New Roman" w:eastAsia="宋体" w:cs="Times New Roman"/>
          <w:sz w:val="24"/>
          <w:szCs w:val="24"/>
        </w:rPr>
        <w:t>对原料废矿物油中的部分类别、工艺路线及罐区小呼吸废气处理措施进行了优化调整，</w:t>
      </w:r>
      <w:r>
        <w:rPr>
          <w:rFonts w:ascii="Times New Roman" w:hAnsi="Times New Roman" w:eastAsia="宋体" w:cs="Times New Roman"/>
          <w:sz w:val="24"/>
          <w:szCs w:val="24"/>
        </w:rPr>
        <w:t>项目</w:t>
      </w:r>
      <w:r>
        <w:rPr>
          <w:rFonts w:hint="eastAsia" w:ascii="Times New Roman" w:hAnsi="Times New Roman" w:eastAsia="宋体" w:cs="Times New Roman"/>
          <w:sz w:val="24"/>
          <w:szCs w:val="24"/>
        </w:rPr>
        <w:t>废气废水中的污染物排放量有所减少，不属于重大变动。</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受河南科瑞斯环保科技有限公司委托，</w:t>
      </w:r>
      <w:r>
        <w:rPr>
          <w:rFonts w:ascii="Times New Roman" w:hAnsi="Times New Roman" w:eastAsia="宋体" w:cs="Times New Roman"/>
          <w:sz w:val="24"/>
          <w:szCs w:val="24"/>
        </w:rPr>
        <w:t>我公司</w:t>
      </w:r>
      <w:r>
        <w:rPr>
          <w:rFonts w:hint="eastAsia" w:ascii="Times New Roman" w:hAnsi="Times New Roman" w:eastAsia="宋体" w:cs="Times New Roman"/>
          <w:sz w:val="24"/>
          <w:szCs w:val="24"/>
        </w:rPr>
        <w:t>承担本项目的变更分析报告编写，</w:t>
      </w:r>
      <w:r>
        <w:rPr>
          <w:rFonts w:ascii="Times New Roman" w:hAnsi="Times New Roman" w:eastAsia="宋体" w:cs="Times New Roman"/>
          <w:sz w:val="24"/>
          <w:szCs w:val="24"/>
        </w:rPr>
        <w:t>受委托后我公司立即成立项目组，依据国家有关环保法规、技术导则等，对该项目进行现场勘探、调查，在此基础上编制</w:t>
      </w:r>
      <w:r>
        <w:rPr>
          <w:rFonts w:hint="eastAsia" w:ascii="Times New Roman" w:hAnsi="Times New Roman" w:eastAsia="宋体" w:cs="Times New Roman"/>
          <w:sz w:val="24"/>
          <w:szCs w:val="24"/>
        </w:rPr>
        <w:t>了</w:t>
      </w:r>
      <w:r>
        <w:rPr>
          <w:rFonts w:ascii="Times New Roman" w:hAnsi="Times New Roman" w:eastAsia="宋体" w:cs="Times New Roman"/>
          <w:sz w:val="24"/>
          <w:szCs w:val="24"/>
        </w:rPr>
        <w:t>《</w:t>
      </w:r>
      <w:r>
        <w:rPr>
          <w:rFonts w:hint="eastAsia" w:ascii="Times New Roman" w:hAnsi="Times New Roman" w:eastAsia="宋体" w:cs="Times New Roman"/>
          <w:sz w:val="24"/>
          <w:szCs w:val="24"/>
        </w:rPr>
        <w:t>河南科瑞斯环保科技有限公司</w:t>
      </w:r>
      <w:r>
        <w:rPr>
          <w:rFonts w:ascii="Times New Roman" w:hAnsi="Times New Roman" w:eastAsia="宋体" w:cs="Times New Roman"/>
          <w:sz w:val="24"/>
          <w:szCs w:val="24"/>
        </w:rPr>
        <w:t>10</w:t>
      </w:r>
      <w:r>
        <w:rPr>
          <w:rFonts w:hint="eastAsia" w:ascii="Times New Roman" w:hAnsi="Times New Roman" w:eastAsia="宋体" w:cs="Times New Roman"/>
          <w:sz w:val="24"/>
          <w:szCs w:val="24"/>
        </w:rPr>
        <w:t>万吨</w:t>
      </w:r>
      <w:r>
        <w:rPr>
          <w:rFonts w:ascii="Times New Roman" w:hAnsi="Times New Roman" w:eastAsia="宋体" w:cs="Times New Roman"/>
          <w:sz w:val="24"/>
          <w:szCs w:val="24"/>
        </w:rPr>
        <w:t>/</w:t>
      </w:r>
      <w:r>
        <w:rPr>
          <w:rFonts w:hint="eastAsia" w:ascii="Times New Roman" w:hAnsi="Times New Roman" w:eastAsia="宋体" w:cs="Times New Roman"/>
          <w:sz w:val="24"/>
          <w:szCs w:val="24"/>
        </w:rPr>
        <w:t>年废矿物油综合利用项目</w:t>
      </w:r>
      <w:r>
        <w:rPr>
          <w:rFonts w:ascii="Times New Roman" w:hAnsi="Times New Roman" w:eastAsia="宋体" w:cs="Times New Roman"/>
          <w:sz w:val="24"/>
          <w:szCs w:val="24"/>
        </w:rPr>
        <w:t>环境影响变更分析报告》。</w:t>
      </w:r>
    </w:p>
    <w:p>
      <w:pPr>
        <w:pStyle w:val="39"/>
        <w:rPr>
          <w:color w:val="auto"/>
        </w:rPr>
      </w:pPr>
      <w:bookmarkStart w:id="2" w:name="_Toc8391515"/>
      <w:r>
        <w:rPr>
          <w:rFonts w:hint="eastAsia"/>
          <w:color w:val="auto"/>
        </w:rPr>
        <w:t>1.2 项目环保手续履行情况</w:t>
      </w:r>
      <w:bookmarkEnd w:id="2"/>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河南科瑞斯环保科技有限公司于2018年1月8日委托江苏润环环境科技有限公司编制了《</w:t>
      </w:r>
      <w:r>
        <w:rPr>
          <w:rFonts w:ascii="Times New Roman" w:hAnsi="Times New Roman" w:eastAsia="宋体"/>
          <w:sz w:val="24"/>
          <w:szCs w:val="24"/>
        </w:rPr>
        <w:t>河南科瑞斯环保科技有限公司</w:t>
      </w:r>
      <w:r>
        <w:rPr>
          <w:rFonts w:hint="eastAsia" w:ascii="Times New Roman" w:hAnsi="Times New Roman" w:eastAsia="宋体"/>
          <w:sz w:val="24"/>
          <w:szCs w:val="24"/>
        </w:rPr>
        <w:t>10</w:t>
      </w:r>
      <w:r>
        <w:rPr>
          <w:rFonts w:ascii="Times New Roman" w:hAnsi="Times New Roman" w:eastAsia="宋体"/>
          <w:sz w:val="24"/>
          <w:szCs w:val="24"/>
        </w:rPr>
        <w:t>万吨/年废矿物油综合利用项目</w:t>
      </w:r>
      <w:r>
        <w:rPr>
          <w:rFonts w:hint="eastAsia" w:ascii="Times New Roman" w:hAnsi="Times New Roman" w:eastAsia="宋体" w:cs="Times New Roman"/>
          <w:sz w:val="24"/>
          <w:szCs w:val="24"/>
        </w:rPr>
        <w:t>环境影响报告书》，2018年4月</w:t>
      </w:r>
      <w:r>
        <w:rPr>
          <w:rFonts w:ascii="Times New Roman" w:hAnsi="Times New Roman" w:eastAsia="宋体" w:cs="Times New Roman"/>
          <w:sz w:val="24"/>
          <w:szCs w:val="24"/>
        </w:rPr>
        <w:t>28</w:t>
      </w:r>
      <w:r>
        <w:rPr>
          <w:rFonts w:hint="eastAsia" w:ascii="Times New Roman" w:hAnsi="Times New Roman" w:eastAsia="宋体" w:cs="Times New Roman"/>
          <w:sz w:val="24"/>
          <w:szCs w:val="24"/>
        </w:rPr>
        <w:t>日，该项目取得了濮阳经济技术开发区环境保护局出具的环评批复，文件号：</w:t>
      </w:r>
      <w:r>
        <w:rPr>
          <w:rFonts w:ascii="Times New Roman" w:hAnsi="Times New Roman" w:eastAsia="宋体" w:cs="Times New Roman"/>
          <w:sz w:val="24"/>
          <w:szCs w:val="24"/>
        </w:rPr>
        <w:t>濮</w:t>
      </w:r>
      <w:r>
        <w:rPr>
          <w:rFonts w:hint="eastAsia" w:ascii="Times New Roman" w:hAnsi="Times New Roman" w:eastAsia="宋体" w:cs="Times New Roman"/>
          <w:sz w:val="24"/>
          <w:szCs w:val="24"/>
        </w:rPr>
        <w:t>开环审[</w:t>
      </w:r>
      <w:r>
        <w:rPr>
          <w:rFonts w:ascii="Times New Roman" w:hAnsi="Times New Roman" w:eastAsia="宋体" w:cs="Times New Roman"/>
          <w:sz w:val="24"/>
          <w:szCs w:val="24"/>
        </w:rPr>
        <w:t>2018</w:t>
      </w:r>
      <w:r>
        <w:rPr>
          <w:rFonts w:hint="eastAsia" w:ascii="Times New Roman" w:hAnsi="Times New Roman" w:eastAsia="宋体" w:cs="Times New Roman"/>
          <w:sz w:val="24"/>
          <w:szCs w:val="24"/>
        </w:rPr>
        <w:t>]</w:t>
      </w:r>
      <w:r>
        <w:rPr>
          <w:rFonts w:ascii="Times New Roman" w:hAnsi="Times New Roman" w:eastAsia="宋体" w:cs="Times New Roman"/>
          <w:sz w:val="24"/>
          <w:szCs w:val="24"/>
        </w:rPr>
        <w:t>14</w:t>
      </w:r>
      <w:r>
        <w:rPr>
          <w:rFonts w:hint="eastAsia" w:ascii="Times New Roman" w:hAnsi="Times New Roman" w:eastAsia="宋体" w:cs="Times New Roman"/>
          <w:sz w:val="24"/>
          <w:szCs w:val="24"/>
        </w:rPr>
        <w:t>号。批复内容为项目投资5.8亿元在濮阳经济技术产业集聚</w:t>
      </w:r>
      <w:r>
        <w:rPr>
          <w:rFonts w:hint="eastAsia" w:ascii="Times New Roman" w:hAnsi="Times New Roman" w:eastAsia="宋体" w:cs="Times New Roman"/>
          <w:color w:val="FF0000"/>
          <w:sz w:val="24"/>
          <w:szCs w:val="24"/>
        </w:rPr>
        <w:t>区</w:t>
      </w:r>
      <w:r>
        <w:rPr>
          <w:rFonts w:hint="eastAsia" w:ascii="Times New Roman" w:hAnsi="Times New Roman" w:eastAsia="宋体" w:cs="Times New Roman"/>
          <w:color w:val="FF0000"/>
          <w:sz w:val="24"/>
          <w:szCs w:val="24"/>
          <w:lang w:eastAsia="zh-CN"/>
        </w:rPr>
        <w:t>工业园区内拟建</w:t>
      </w:r>
      <w:r>
        <w:rPr>
          <w:rFonts w:hint="eastAsia" w:ascii="Times New Roman" w:hAnsi="Times New Roman" w:eastAsia="宋体" w:cs="Times New Roman"/>
          <w:color w:val="FF0000"/>
          <w:sz w:val="24"/>
          <w:szCs w:val="24"/>
        </w:rPr>
        <w:t>10万吨/年废矿物油</w:t>
      </w:r>
      <w:r>
        <w:rPr>
          <w:rFonts w:hint="eastAsia" w:ascii="Times New Roman" w:hAnsi="Times New Roman" w:eastAsia="宋体" w:cs="Times New Roman"/>
          <w:color w:val="FF0000"/>
          <w:sz w:val="24"/>
          <w:szCs w:val="24"/>
          <w:lang w:eastAsia="zh-CN"/>
        </w:rPr>
        <w:t>综合利用项目</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工艺</w:t>
      </w:r>
      <w:r>
        <w:rPr>
          <w:rFonts w:hint="eastAsia" w:ascii="Times New Roman" w:hAnsi="Times New Roman" w:eastAsia="宋体" w:cs="Times New Roman"/>
          <w:sz w:val="24"/>
          <w:szCs w:val="24"/>
        </w:rPr>
        <w:t>采用原料预处理、</w:t>
      </w:r>
      <w:r>
        <w:rPr>
          <w:rFonts w:ascii="Times New Roman" w:hAnsi="Times New Roman" w:eastAsia="宋体" w:cs="Times New Roman"/>
          <w:sz w:val="24"/>
          <w:szCs w:val="24"/>
        </w:rPr>
        <w:t>溶剂</w:t>
      </w:r>
      <w:r>
        <w:rPr>
          <w:rFonts w:hint="eastAsia" w:ascii="Times New Roman" w:hAnsi="Times New Roman" w:eastAsia="宋体" w:cs="Times New Roman"/>
          <w:sz w:val="24"/>
          <w:szCs w:val="24"/>
        </w:rPr>
        <w:t>精制和减压蒸馏等工序</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生产基础油及副产品汽油、</w:t>
      </w:r>
      <w:r>
        <w:rPr>
          <w:rFonts w:ascii="Times New Roman" w:hAnsi="Times New Roman" w:eastAsia="宋体" w:cs="Times New Roman"/>
          <w:sz w:val="24"/>
          <w:szCs w:val="24"/>
        </w:rPr>
        <w:t>燃料</w:t>
      </w:r>
      <w:r>
        <w:rPr>
          <w:rFonts w:hint="eastAsia" w:ascii="Times New Roman" w:hAnsi="Times New Roman" w:eastAsia="宋体" w:cs="Times New Roman"/>
          <w:sz w:val="24"/>
          <w:szCs w:val="24"/>
        </w:rPr>
        <w:t>油、</w:t>
      </w:r>
      <w:r>
        <w:rPr>
          <w:rFonts w:ascii="Times New Roman" w:hAnsi="Times New Roman" w:eastAsia="宋体" w:cs="Times New Roman"/>
          <w:sz w:val="24"/>
          <w:szCs w:val="24"/>
        </w:rPr>
        <w:t>柴油</w:t>
      </w:r>
      <w:r>
        <w:rPr>
          <w:rFonts w:hint="eastAsia" w:ascii="Times New Roman" w:hAnsi="Times New Roman" w:eastAsia="宋体" w:cs="Times New Roman"/>
          <w:sz w:val="24"/>
          <w:szCs w:val="24"/>
        </w:rPr>
        <w:t>和沥青。</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目前该项目正在安装建设中。在建项目环保手续情况见下表。</w:t>
      </w:r>
    </w:p>
    <w:p>
      <w:pPr>
        <w:pStyle w:val="25"/>
        <w:ind w:firstLine="480"/>
        <w:rPr>
          <w:color w:val="auto"/>
        </w:rPr>
      </w:pPr>
      <w:r>
        <w:rPr>
          <w:rFonts w:hint="eastAsia"/>
          <w:color w:val="auto"/>
        </w:rPr>
        <w:t>表1.2</w:t>
      </w:r>
      <w:r>
        <w:rPr>
          <w:color w:val="auto"/>
        </w:rPr>
        <w:t xml:space="preserve">-1         </w:t>
      </w:r>
      <w:r>
        <w:rPr>
          <w:rFonts w:hint="eastAsia"/>
          <w:color w:val="auto"/>
        </w:rPr>
        <w:t>在建项目环保手续履行情况一览表</w:t>
      </w:r>
    </w:p>
    <w:tbl>
      <w:tblPr>
        <w:tblStyle w:val="19"/>
        <w:tblW w:w="830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3405"/>
        <w:gridCol w:w="1916"/>
        <w:gridCol w:w="2366"/>
        <w:gridCol w:w="6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38" w:hRule="atLeast"/>
          <w:jc w:val="center"/>
        </w:trPr>
        <w:tc>
          <w:tcPr>
            <w:tcW w:w="3405" w:type="dxa"/>
            <w:tcBorders>
              <w:bottom w:val="single" w:color="000000" w:sz="2" w:space="0"/>
            </w:tcBorders>
            <w:vAlign w:val="center"/>
          </w:tcPr>
          <w:p>
            <w:pPr>
              <w:pStyle w:val="28"/>
              <w:rPr>
                <w:color w:val="auto"/>
              </w:rPr>
            </w:pPr>
            <w:bookmarkStart w:id="3" w:name="_Hlk511238819"/>
            <w:r>
              <w:rPr>
                <w:color w:val="auto"/>
              </w:rPr>
              <w:t>项目名称</w:t>
            </w:r>
          </w:p>
        </w:tc>
        <w:tc>
          <w:tcPr>
            <w:tcW w:w="1916" w:type="dxa"/>
            <w:tcBorders>
              <w:bottom w:val="single" w:color="000000" w:sz="2" w:space="0"/>
            </w:tcBorders>
            <w:vAlign w:val="center"/>
          </w:tcPr>
          <w:p>
            <w:pPr>
              <w:pStyle w:val="28"/>
              <w:rPr>
                <w:color w:val="auto"/>
              </w:rPr>
            </w:pPr>
            <w:r>
              <w:rPr>
                <w:color w:val="auto"/>
              </w:rPr>
              <w:t>环评报告书编制时间及单位</w:t>
            </w:r>
          </w:p>
        </w:tc>
        <w:tc>
          <w:tcPr>
            <w:tcW w:w="2366" w:type="dxa"/>
            <w:tcBorders>
              <w:bottom w:val="single" w:color="000000" w:sz="2" w:space="0"/>
            </w:tcBorders>
            <w:vAlign w:val="center"/>
          </w:tcPr>
          <w:p>
            <w:pPr>
              <w:pStyle w:val="28"/>
              <w:rPr>
                <w:color w:val="auto"/>
              </w:rPr>
            </w:pPr>
            <w:r>
              <w:rPr>
                <w:color w:val="auto"/>
              </w:rPr>
              <w:t>环评批复文号、时间及审批单位</w:t>
            </w:r>
          </w:p>
        </w:tc>
        <w:tc>
          <w:tcPr>
            <w:tcW w:w="613" w:type="dxa"/>
            <w:tcBorders>
              <w:bottom w:val="single" w:color="000000" w:sz="2" w:space="0"/>
            </w:tcBorders>
            <w:vAlign w:val="center"/>
          </w:tcPr>
          <w:p>
            <w:pPr>
              <w:pStyle w:val="28"/>
              <w:rPr>
                <w:color w:val="auto"/>
              </w:rPr>
            </w:pPr>
            <w:r>
              <w:rPr>
                <w:color w:val="auto"/>
              </w:rPr>
              <w:t>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06" w:hRule="atLeast"/>
          <w:jc w:val="center"/>
        </w:trPr>
        <w:tc>
          <w:tcPr>
            <w:tcW w:w="3405" w:type="dxa"/>
            <w:vAlign w:val="center"/>
          </w:tcPr>
          <w:p>
            <w:pPr>
              <w:pStyle w:val="28"/>
              <w:rPr>
                <w:color w:val="auto"/>
              </w:rPr>
            </w:pPr>
            <w:r>
              <w:rPr>
                <w:color w:val="auto"/>
              </w:rPr>
              <w:t>河南科瑞斯环保科技有限公司</w:t>
            </w:r>
            <w:r>
              <w:rPr>
                <w:rFonts w:hint="eastAsia"/>
                <w:color w:val="auto"/>
              </w:rPr>
              <w:t>10</w:t>
            </w:r>
            <w:r>
              <w:rPr>
                <w:color w:val="auto"/>
              </w:rPr>
              <w:t>万吨/年废矿物油综合利用项目</w:t>
            </w:r>
          </w:p>
        </w:tc>
        <w:tc>
          <w:tcPr>
            <w:tcW w:w="1916" w:type="dxa"/>
            <w:vAlign w:val="center"/>
          </w:tcPr>
          <w:p>
            <w:pPr>
              <w:pStyle w:val="28"/>
              <w:rPr>
                <w:color w:val="auto"/>
              </w:rPr>
            </w:pPr>
            <w:r>
              <w:rPr>
                <w:color w:val="auto"/>
              </w:rPr>
              <w:t>2018.1，</w:t>
            </w:r>
            <w:r>
              <w:rPr>
                <w:rFonts w:hint="eastAsia"/>
                <w:color w:val="auto"/>
              </w:rPr>
              <w:t>江苏润环环境科技有限公司</w:t>
            </w:r>
          </w:p>
        </w:tc>
        <w:tc>
          <w:tcPr>
            <w:tcW w:w="2366" w:type="dxa"/>
            <w:vAlign w:val="center"/>
          </w:tcPr>
          <w:p>
            <w:pPr>
              <w:pStyle w:val="28"/>
              <w:rPr>
                <w:color w:val="auto"/>
              </w:rPr>
            </w:pPr>
            <w:r>
              <w:rPr>
                <w:rFonts w:cs="Times New Roman"/>
                <w:color w:val="auto"/>
              </w:rPr>
              <w:t>濮</w:t>
            </w:r>
            <w:r>
              <w:rPr>
                <w:rFonts w:hint="eastAsia" w:cs="Times New Roman"/>
                <w:color w:val="auto"/>
              </w:rPr>
              <w:t>开环审[</w:t>
            </w:r>
            <w:r>
              <w:rPr>
                <w:rFonts w:cs="Times New Roman"/>
                <w:color w:val="auto"/>
              </w:rPr>
              <w:t>2018</w:t>
            </w:r>
            <w:r>
              <w:rPr>
                <w:rFonts w:hint="eastAsia" w:cs="Times New Roman"/>
                <w:color w:val="auto"/>
              </w:rPr>
              <w:t>]</w:t>
            </w:r>
            <w:r>
              <w:rPr>
                <w:rFonts w:cs="Times New Roman"/>
                <w:color w:val="auto"/>
              </w:rPr>
              <w:t>14</w:t>
            </w:r>
            <w:r>
              <w:rPr>
                <w:rFonts w:hint="eastAsia" w:cs="Times New Roman"/>
                <w:color w:val="auto"/>
              </w:rPr>
              <w:t>号</w:t>
            </w:r>
            <w:r>
              <w:rPr>
                <w:color w:val="auto"/>
              </w:rPr>
              <w:t>，2018.4，</w:t>
            </w:r>
            <w:r>
              <w:rPr>
                <w:rFonts w:hint="eastAsia" w:cs="Times New Roman"/>
                <w:color w:val="auto"/>
              </w:rPr>
              <w:t>濮阳经济技术开发区环境保护局</w:t>
            </w:r>
          </w:p>
        </w:tc>
        <w:tc>
          <w:tcPr>
            <w:tcW w:w="613" w:type="dxa"/>
            <w:vAlign w:val="center"/>
          </w:tcPr>
          <w:p>
            <w:pPr>
              <w:pStyle w:val="28"/>
              <w:rPr>
                <w:color w:val="auto"/>
              </w:rPr>
            </w:pPr>
            <w:r>
              <w:rPr>
                <w:rFonts w:hint="eastAsia"/>
                <w:color w:val="auto"/>
              </w:rPr>
              <w:t>安装建设</w:t>
            </w:r>
          </w:p>
        </w:tc>
      </w:tr>
      <w:bookmarkEnd w:id="3"/>
    </w:tbl>
    <w:p>
      <w:pPr>
        <w:pStyle w:val="39"/>
        <w:rPr>
          <w:color w:val="auto"/>
        </w:rPr>
      </w:pPr>
      <w:bookmarkStart w:id="4" w:name="_Toc8391516"/>
      <w:r>
        <w:rPr>
          <w:rFonts w:hint="eastAsia"/>
          <w:color w:val="auto"/>
        </w:rPr>
        <w:t>1</w:t>
      </w:r>
      <w:r>
        <w:rPr>
          <w:color w:val="auto"/>
        </w:rPr>
        <w:t xml:space="preserve">.3 </w:t>
      </w:r>
      <w:r>
        <w:rPr>
          <w:rFonts w:hint="eastAsia"/>
          <w:color w:val="auto"/>
        </w:rPr>
        <w:t>变更内容</w:t>
      </w:r>
      <w:bookmarkEnd w:id="4"/>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工艺方面</w:t>
      </w:r>
    </w:p>
    <w:p>
      <w:pPr>
        <w:spacing w:line="480" w:lineRule="exact"/>
        <w:ind w:firstLine="468" w:firstLineChars="200"/>
        <w:rPr>
          <w:rFonts w:ascii="宋体" w:hAnsi="宋体" w:eastAsia="宋体"/>
          <w:spacing w:val="-3"/>
          <w:sz w:val="24"/>
        </w:rPr>
      </w:pPr>
      <w:r>
        <w:rPr>
          <w:rFonts w:hint="eastAsia" w:ascii="宋体" w:hAnsi="宋体" w:eastAsia="宋体"/>
          <w:spacing w:val="-3"/>
          <w:sz w:val="24"/>
        </w:rPr>
        <w:t>预处理单元；原预处理单元包括脱固脱水、脱油泥、薄膜蒸发及轻重烃分离等工序，过程过于繁琐，不易控制。在借鉴国内外先进实践和经验的基础上，项目拟对原预处理工艺进行优化改造。改造后，首先采用三注防腐工艺和聚结器技术高效</w:t>
      </w:r>
      <w:r>
        <w:rPr>
          <w:rFonts w:hint="eastAsia" w:ascii="Times New Roman" w:hAnsi="Times New Roman" w:eastAsia="宋体" w:cs="Times New Roman"/>
          <w:sz w:val="24"/>
          <w:szCs w:val="24"/>
        </w:rPr>
        <w:t>脱除废矿物油中盐分及水分</w:t>
      </w:r>
      <w:r>
        <w:rPr>
          <w:rFonts w:ascii="宋体" w:hAnsi="宋体" w:eastAsia="宋体"/>
          <w:spacing w:val="-3"/>
          <w:sz w:val="24"/>
        </w:rPr>
        <w:t>，</w:t>
      </w:r>
      <w:r>
        <w:rPr>
          <w:rFonts w:hint="eastAsia" w:ascii="宋体" w:hAnsi="宋体" w:eastAsia="宋体"/>
          <w:spacing w:val="-3"/>
          <w:sz w:val="24"/>
        </w:rPr>
        <w:t>经过沉降器将矿物油和</w:t>
      </w:r>
      <w:r>
        <w:rPr>
          <w:rFonts w:ascii="Times New Roman" w:hAnsi="Times New Roman" w:eastAsia="宋体" w:cs="Times New Roman"/>
          <w:sz w:val="24"/>
          <w:szCs w:val="24"/>
        </w:rPr>
        <w:t>盐分、水分、金属屑及油泥</w:t>
      </w:r>
      <w:r>
        <w:rPr>
          <w:rFonts w:hint="eastAsia" w:ascii="宋体" w:hAnsi="宋体" w:eastAsia="宋体"/>
          <w:spacing w:val="-3"/>
          <w:sz w:val="24"/>
        </w:rPr>
        <w:t>进行分离，</w:t>
      </w:r>
      <w:r>
        <w:rPr>
          <w:rFonts w:ascii="Times New Roman" w:hAnsi="Times New Roman" w:eastAsia="宋体" w:cs="Times New Roman"/>
          <w:sz w:val="24"/>
          <w:szCs w:val="24"/>
        </w:rPr>
        <w:t>盐分、水分、金属屑及油泥</w:t>
      </w:r>
      <w:r>
        <w:rPr>
          <w:rFonts w:hint="eastAsia" w:ascii="Times New Roman" w:hAnsi="Times New Roman" w:eastAsia="宋体" w:cs="Times New Roman"/>
          <w:sz w:val="24"/>
          <w:szCs w:val="24"/>
        </w:rPr>
        <w:t>进入脱油泥机，</w:t>
      </w:r>
      <w:r>
        <w:rPr>
          <w:rFonts w:hint="eastAsia" w:ascii="宋体" w:hAnsi="宋体" w:eastAsia="宋体"/>
          <w:spacing w:val="-3"/>
          <w:sz w:val="24"/>
        </w:rPr>
        <w:t>脱杂后的废矿物油经减压闪蒸塔分离出不凝气、</w:t>
      </w:r>
      <w:r>
        <w:rPr>
          <w:rFonts w:ascii="宋体" w:hAnsi="宋体" w:eastAsia="宋体"/>
          <w:spacing w:val="-3"/>
          <w:sz w:val="24"/>
        </w:rPr>
        <w:t>汽油</w:t>
      </w:r>
      <w:r>
        <w:rPr>
          <w:rFonts w:hint="eastAsia" w:ascii="宋体" w:hAnsi="宋体" w:eastAsia="宋体"/>
          <w:spacing w:val="-3"/>
          <w:sz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溶剂精制单元：原溶剂精制单元包括丙烷脱沥青、糠醛精制及分子筛吸附等工序。</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丙烷脱沥青：利用丙烷对原料中的环烷烃、烷烃及低分子芳香烃（主要是润滑油和蜡组分）有相当大的溶解度，而对胶质、沥青质则难溶或几乎不溶的特性，实现脱沥青油和沥青的分离；</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糠醛精制：利用糠醛对原料中多环短侧链的芳香烃和环烷烃、胶质、硫和氮的化合物等溶解度较大，而对少环长侧链的烃类润滑油组分溶解度较小的特性，实现理想组分与非理想组分的分离。</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w:t>
      </w:r>
      <w:r>
        <w:rPr>
          <w:rFonts w:hint="eastAsia" w:ascii="Times New Roman" w:hAnsi="Times New Roman" w:eastAsia="宋体" w:cs="Times New Roman"/>
          <w:sz w:val="24"/>
          <w:szCs w:val="24"/>
        </w:rPr>
        <w:t>拟对丙烷脱沥青工序的操作条件进行了优化调整，将萃取塔内温度控制在</w:t>
      </w:r>
      <w:r>
        <w:rPr>
          <w:rFonts w:ascii="Times New Roman" w:hAnsi="Times New Roman" w:eastAsia="宋体" w:cs="Times New Roman"/>
          <w:sz w:val="24"/>
          <w:szCs w:val="24"/>
        </w:rPr>
        <w:t>102</w:t>
      </w:r>
      <w:r>
        <w:rPr>
          <w:rFonts w:hint="eastAsia" w:ascii="Times New Roman" w:hAnsi="Times New Roman" w:eastAsia="宋体" w:cs="Times New Roman"/>
          <w:sz w:val="24"/>
          <w:szCs w:val="24"/>
        </w:rPr>
        <w:t>℃，压力控制在4.50M</w:t>
      </w:r>
      <w:r>
        <w:rPr>
          <w:rFonts w:ascii="Times New Roman" w:hAnsi="Times New Roman" w:eastAsia="宋体" w:cs="Times New Roman"/>
          <w:sz w:val="24"/>
          <w:szCs w:val="24"/>
        </w:rPr>
        <w:t>Pa</w:t>
      </w:r>
      <w:r>
        <w:rPr>
          <w:rFonts w:hint="eastAsia" w:ascii="Times New Roman" w:hAnsi="Times New Roman" w:eastAsia="宋体" w:cs="Times New Roman"/>
          <w:sz w:val="24"/>
          <w:szCs w:val="24"/>
        </w:rPr>
        <w:t>，</w:t>
      </w:r>
      <w:r>
        <w:rPr>
          <w:rFonts w:ascii="Times New Roman" w:hAnsi="Times New Roman" w:eastAsia="宋体" w:cs="Times New Roman"/>
          <w:sz w:val="24"/>
          <w:szCs w:val="24"/>
        </w:rPr>
        <w:t>溶剂比</w:t>
      </w:r>
      <w:r>
        <w:rPr>
          <w:rFonts w:hint="eastAsia" w:ascii="Times New Roman" w:hAnsi="Times New Roman" w:eastAsia="宋体" w:cs="Times New Roman"/>
          <w:sz w:val="24"/>
          <w:szCs w:val="24"/>
        </w:rPr>
        <w:t>控制在3.2，同时加入消泡剂，</w:t>
      </w:r>
      <w:r>
        <w:rPr>
          <w:rFonts w:ascii="Times New Roman" w:hAnsi="Times New Roman" w:eastAsia="宋体" w:cs="Times New Roman"/>
          <w:sz w:val="24"/>
          <w:szCs w:val="24"/>
        </w:rPr>
        <w:t>减少</w:t>
      </w:r>
      <w:r>
        <w:rPr>
          <w:rFonts w:hint="eastAsia" w:ascii="Times New Roman" w:hAnsi="Times New Roman" w:eastAsia="宋体" w:cs="Times New Roman"/>
          <w:sz w:val="24"/>
          <w:szCs w:val="24"/>
        </w:rPr>
        <w:t>了丙烷的消耗。调整优化后，</w:t>
      </w:r>
      <w:r>
        <w:rPr>
          <w:rFonts w:ascii="Times New Roman" w:hAnsi="Times New Roman" w:eastAsia="宋体" w:cs="Times New Roman"/>
          <w:sz w:val="24"/>
          <w:szCs w:val="24"/>
        </w:rPr>
        <w:t>丙烷脱沥青</w:t>
      </w:r>
      <w:r>
        <w:rPr>
          <w:rFonts w:hint="eastAsia" w:ascii="Times New Roman" w:hAnsi="Times New Roman" w:eastAsia="宋体" w:cs="Times New Roman"/>
          <w:sz w:val="24"/>
          <w:szCs w:val="24"/>
        </w:rPr>
        <w:t>工序的脱沥青效果与原工艺（丙烷脱沥青+糠醛精制</w:t>
      </w:r>
      <w:r>
        <w:rPr>
          <w:rFonts w:ascii="Times New Roman" w:hAnsi="Times New Roman" w:eastAsia="宋体" w:cs="Times New Roman"/>
          <w:sz w:val="24"/>
          <w:szCs w:val="24"/>
        </w:rPr>
        <w:t>）</w:t>
      </w:r>
      <w:r>
        <w:rPr>
          <w:rFonts w:hint="eastAsia" w:ascii="Times New Roman" w:hAnsi="Times New Roman" w:eastAsia="宋体" w:cs="Times New Roman"/>
          <w:sz w:val="24"/>
          <w:szCs w:val="24"/>
        </w:rPr>
        <w:t>脱除效果相同。为达到节能减排的效果，把糠醛精制工序去掉。</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工序减少后，产品质量与数量不发生变化。</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原辅材料方面</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变更前，项目原辅材料主要为废矿物油与含矿物油废物、</w:t>
      </w:r>
      <w:r>
        <w:rPr>
          <w:rFonts w:ascii="Times New Roman" w:hAnsi="Times New Roman" w:eastAsia="宋体" w:cs="Times New Roman"/>
          <w:sz w:val="24"/>
          <w:szCs w:val="24"/>
        </w:rPr>
        <w:t>丙烷</w:t>
      </w:r>
      <w:r>
        <w:rPr>
          <w:rFonts w:hint="eastAsia" w:ascii="Times New Roman" w:hAnsi="Times New Roman" w:eastAsia="宋体" w:cs="Times New Roman"/>
          <w:sz w:val="24"/>
          <w:szCs w:val="24"/>
        </w:rPr>
        <w:t>、</w:t>
      </w:r>
      <w:r>
        <w:rPr>
          <w:rFonts w:ascii="Times New Roman" w:hAnsi="Times New Roman" w:eastAsia="宋体" w:cs="Times New Roman"/>
          <w:sz w:val="24"/>
          <w:szCs w:val="24"/>
        </w:rPr>
        <w:t>糠醛</w:t>
      </w:r>
      <w:r>
        <w:rPr>
          <w:rFonts w:hint="eastAsia" w:ascii="Times New Roman" w:hAnsi="Times New Roman" w:eastAsia="宋体" w:cs="Times New Roman"/>
          <w:sz w:val="24"/>
          <w:szCs w:val="24"/>
        </w:rPr>
        <w:t>、</w:t>
      </w:r>
      <w:r>
        <w:rPr>
          <w:rFonts w:ascii="Times New Roman" w:hAnsi="Times New Roman" w:eastAsia="宋体" w:cs="Times New Roman"/>
          <w:sz w:val="24"/>
          <w:szCs w:val="24"/>
        </w:rPr>
        <w:t>分子筛</w:t>
      </w:r>
      <w:r>
        <w:rPr>
          <w:rFonts w:hint="eastAsia" w:ascii="Times New Roman" w:hAnsi="Times New Roman" w:eastAsia="宋体" w:cs="Times New Roman"/>
          <w:sz w:val="24"/>
          <w:szCs w:val="24"/>
        </w:rPr>
        <w:t>等，其中废矿物油废物类别包括</w:t>
      </w:r>
      <w:r>
        <w:rPr>
          <w:rFonts w:ascii="Times New Roman" w:hAnsi="Times New Roman" w:eastAsia="宋体" w:cs="Times New Roman"/>
          <w:sz w:val="24"/>
          <w:szCs w:val="24"/>
        </w:rPr>
        <w:t>251-001-08</w:t>
      </w:r>
      <w:r>
        <w:rPr>
          <w:rFonts w:hint="eastAsia" w:ascii="Times New Roman" w:hAnsi="Times New Roman" w:eastAsia="宋体" w:cs="Times New Roman"/>
          <w:sz w:val="24"/>
          <w:szCs w:val="24"/>
        </w:rPr>
        <w:t>，</w:t>
      </w:r>
      <w:r>
        <w:rPr>
          <w:rFonts w:ascii="Times New Roman" w:hAnsi="Times New Roman" w:eastAsia="宋体" w:cs="Times New Roman"/>
          <w:sz w:val="24"/>
          <w:szCs w:val="24"/>
        </w:rPr>
        <w:t>251-005-08</w:t>
      </w:r>
      <w:r>
        <w:rPr>
          <w:rFonts w:hint="eastAsia" w:ascii="Times New Roman" w:hAnsi="Times New Roman" w:eastAsia="宋体" w:cs="Times New Roman"/>
          <w:sz w:val="24"/>
          <w:szCs w:val="24"/>
        </w:rPr>
        <w:t>，</w:t>
      </w:r>
      <w:r>
        <w:rPr>
          <w:rFonts w:ascii="Times New Roman" w:hAnsi="Times New Roman" w:eastAsia="宋体" w:cs="Times New Roman"/>
          <w:sz w:val="24"/>
          <w:szCs w:val="24"/>
        </w:rPr>
        <w:t>900-199-08</w:t>
      </w:r>
      <w:r>
        <w:rPr>
          <w:rFonts w:hint="eastAsia" w:ascii="Times New Roman" w:hAnsi="Times New Roman" w:eastAsia="宋体" w:cs="Times New Roman"/>
          <w:sz w:val="24"/>
          <w:szCs w:val="24"/>
        </w:rPr>
        <w:t>，</w:t>
      </w:r>
      <w:r>
        <w:rPr>
          <w:rFonts w:ascii="Times New Roman" w:hAnsi="Times New Roman" w:eastAsia="宋体" w:cs="Times New Roman"/>
          <w:sz w:val="24"/>
          <w:szCs w:val="24"/>
        </w:rPr>
        <w:t>900-200-08</w:t>
      </w:r>
      <w:r>
        <w:rPr>
          <w:rFonts w:hint="eastAsia" w:ascii="Times New Roman" w:hAnsi="Times New Roman" w:eastAsia="宋体" w:cs="Times New Roman"/>
          <w:sz w:val="24"/>
          <w:szCs w:val="24"/>
        </w:rPr>
        <w:t>，</w:t>
      </w:r>
      <w:r>
        <w:rPr>
          <w:rFonts w:ascii="Times New Roman" w:hAnsi="Times New Roman" w:eastAsia="宋体" w:cs="Times New Roman"/>
          <w:sz w:val="24"/>
          <w:szCs w:val="24"/>
        </w:rPr>
        <w:t>900-201-08</w:t>
      </w:r>
      <w:r>
        <w:rPr>
          <w:rFonts w:hint="eastAsia" w:ascii="Times New Roman" w:hAnsi="Times New Roman" w:eastAsia="宋体" w:cs="Times New Roman"/>
          <w:sz w:val="24"/>
          <w:szCs w:val="24"/>
        </w:rPr>
        <w:t>，</w:t>
      </w:r>
      <w:r>
        <w:rPr>
          <w:rFonts w:ascii="Times New Roman" w:hAnsi="Times New Roman" w:eastAsia="宋体" w:cs="Times New Roman"/>
          <w:sz w:val="24"/>
          <w:szCs w:val="24"/>
        </w:rPr>
        <w:t>900-203-08</w:t>
      </w:r>
      <w:r>
        <w:rPr>
          <w:rFonts w:hint="eastAsia" w:ascii="Times New Roman" w:hAnsi="Times New Roman" w:eastAsia="宋体" w:cs="Times New Roman"/>
          <w:sz w:val="24"/>
          <w:szCs w:val="24"/>
        </w:rPr>
        <w:t>，</w:t>
      </w:r>
      <w:r>
        <w:rPr>
          <w:rFonts w:ascii="Times New Roman" w:hAnsi="Times New Roman" w:eastAsia="宋体" w:cs="Times New Roman"/>
          <w:sz w:val="24"/>
          <w:szCs w:val="24"/>
        </w:rPr>
        <w:t>900-204-08</w:t>
      </w:r>
      <w:r>
        <w:rPr>
          <w:rFonts w:hint="eastAsia" w:ascii="Times New Roman" w:hAnsi="Times New Roman" w:eastAsia="宋体" w:cs="Times New Roman"/>
          <w:sz w:val="24"/>
          <w:szCs w:val="24"/>
        </w:rPr>
        <w:t>，</w:t>
      </w:r>
      <w:r>
        <w:rPr>
          <w:rFonts w:ascii="Times New Roman" w:hAnsi="Times New Roman" w:eastAsia="宋体" w:cs="Times New Roman"/>
          <w:sz w:val="24"/>
          <w:szCs w:val="24"/>
        </w:rPr>
        <w:t>900-205-08</w:t>
      </w:r>
      <w:r>
        <w:rPr>
          <w:rFonts w:hint="eastAsia" w:ascii="Times New Roman" w:hAnsi="Times New Roman" w:eastAsia="宋体" w:cs="Times New Roman"/>
          <w:sz w:val="24"/>
          <w:szCs w:val="24"/>
        </w:rPr>
        <w:t>，</w:t>
      </w:r>
      <w:r>
        <w:rPr>
          <w:rFonts w:ascii="Times New Roman" w:hAnsi="Times New Roman" w:eastAsia="宋体" w:cs="Times New Roman"/>
          <w:sz w:val="24"/>
          <w:szCs w:val="24"/>
        </w:rPr>
        <w:t>900-209-08</w:t>
      </w:r>
      <w:r>
        <w:rPr>
          <w:rFonts w:hint="eastAsia" w:ascii="Times New Roman" w:hAnsi="Times New Roman" w:eastAsia="宋体" w:cs="Times New Roman"/>
          <w:sz w:val="24"/>
          <w:szCs w:val="24"/>
        </w:rPr>
        <w:t>，</w:t>
      </w:r>
      <w:r>
        <w:rPr>
          <w:rFonts w:ascii="Times New Roman" w:hAnsi="Times New Roman" w:eastAsia="宋体" w:cs="Times New Roman"/>
          <w:sz w:val="24"/>
          <w:szCs w:val="24"/>
        </w:rPr>
        <w:t>900-210-08</w:t>
      </w:r>
      <w:r>
        <w:rPr>
          <w:rFonts w:hint="eastAsia" w:ascii="Times New Roman" w:hAnsi="Times New Roman" w:eastAsia="宋体" w:cs="Times New Roman"/>
          <w:sz w:val="24"/>
          <w:szCs w:val="24"/>
        </w:rPr>
        <w:t>，</w:t>
      </w:r>
      <w:r>
        <w:rPr>
          <w:rFonts w:ascii="Times New Roman" w:hAnsi="Times New Roman" w:eastAsia="宋体" w:cs="Times New Roman"/>
          <w:sz w:val="24"/>
          <w:szCs w:val="24"/>
        </w:rPr>
        <w:t>900-211-08</w:t>
      </w:r>
      <w:r>
        <w:rPr>
          <w:rFonts w:hint="eastAsia" w:ascii="Times New Roman" w:hAnsi="Times New Roman" w:eastAsia="宋体" w:cs="Times New Roman"/>
          <w:sz w:val="24"/>
          <w:szCs w:val="24"/>
        </w:rPr>
        <w:t>，</w:t>
      </w:r>
      <w:r>
        <w:rPr>
          <w:rFonts w:ascii="Times New Roman" w:hAnsi="Times New Roman" w:eastAsia="宋体" w:cs="Times New Roman"/>
          <w:sz w:val="24"/>
          <w:szCs w:val="24"/>
        </w:rPr>
        <w:t>900-212-08</w:t>
      </w:r>
      <w:r>
        <w:rPr>
          <w:rFonts w:hint="eastAsia" w:ascii="Times New Roman" w:hAnsi="Times New Roman" w:eastAsia="宋体" w:cs="Times New Roman"/>
          <w:sz w:val="24"/>
          <w:szCs w:val="24"/>
        </w:rPr>
        <w:t>，</w:t>
      </w:r>
      <w:r>
        <w:rPr>
          <w:rFonts w:ascii="Times New Roman" w:hAnsi="Times New Roman" w:eastAsia="宋体" w:cs="Times New Roman"/>
          <w:sz w:val="24"/>
          <w:szCs w:val="24"/>
        </w:rPr>
        <w:t>900-214-08</w:t>
      </w:r>
      <w:r>
        <w:rPr>
          <w:rFonts w:hint="eastAsia" w:ascii="Times New Roman" w:hAnsi="Times New Roman" w:eastAsia="宋体" w:cs="Times New Roman"/>
          <w:sz w:val="24"/>
          <w:szCs w:val="24"/>
        </w:rPr>
        <w:t>，</w:t>
      </w:r>
      <w:r>
        <w:rPr>
          <w:rFonts w:ascii="Times New Roman" w:hAnsi="Times New Roman" w:eastAsia="宋体" w:cs="Times New Roman"/>
          <w:sz w:val="24"/>
          <w:szCs w:val="24"/>
        </w:rPr>
        <w:t>900-216-08</w:t>
      </w:r>
      <w:r>
        <w:rPr>
          <w:rFonts w:hint="eastAsia" w:ascii="Times New Roman" w:hAnsi="Times New Roman" w:eastAsia="宋体" w:cs="Times New Roman"/>
          <w:sz w:val="24"/>
          <w:szCs w:val="24"/>
        </w:rPr>
        <w:t>，</w:t>
      </w:r>
      <w:r>
        <w:rPr>
          <w:rFonts w:ascii="Times New Roman" w:hAnsi="Times New Roman" w:eastAsia="宋体" w:cs="Times New Roman"/>
          <w:sz w:val="24"/>
          <w:szCs w:val="24"/>
        </w:rPr>
        <w:t>900-217-08</w:t>
      </w:r>
      <w:r>
        <w:rPr>
          <w:rFonts w:hint="eastAsia" w:ascii="Times New Roman" w:hAnsi="Times New Roman" w:eastAsia="宋体" w:cs="Times New Roman"/>
          <w:sz w:val="24"/>
          <w:szCs w:val="24"/>
        </w:rPr>
        <w:t>，</w:t>
      </w:r>
      <w:r>
        <w:rPr>
          <w:rFonts w:ascii="Times New Roman" w:hAnsi="Times New Roman" w:eastAsia="宋体" w:cs="Times New Roman"/>
          <w:sz w:val="24"/>
          <w:szCs w:val="24"/>
        </w:rPr>
        <w:t>900-218-08</w:t>
      </w:r>
      <w:r>
        <w:rPr>
          <w:rFonts w:hint="eastAsia" w:ascii="Times New Roman" w:hAnsi="Times New Roman" w:eastAsia="宋体" w:cs="Times New Roman"/>
          <w:sz w:val="24"/>
          <w:szCs w:val="24"/>
        </w:rPr>
        <w:t>，</w:t>
      </w:r>
      <w:r>
        <w:rPr>
          <w:rFonts w:ascii="Times New Roman" w:hAnsi="Times New Roman" w:eastAsia="宋体" w:cs="Times New Roman"/>
          <w:sz w:val="24"/>
          <w:szCs w:val="24"/>
        </w:rPr>
        <w:t>900-219-08</w:t>
      </w:r>
      <w:r>
        <w:rPr>
          <w:rFonts w:hint="eastAsia" w:ascii="Times New Roman" w:hAnsi="Times New Roman" w:eastAsia="宋体" w:cs="Times New Roman"/>
          <w:sz w:val="24"/>
          <w:szCs w:val="24"/>
        </w:rPr>
        <w:t>，</w:t>
      </w:r>
      <w:r>
        <w:rPr>
          <w:rFonts w:ascii="Times New Roman" w:hAnsi="Times New Roman" w:eastAsia="宋体" w:cs="Times New Roman"/>
          <w:sz w:val="24"/>
          <w:szCs w:val="24"/>
        </w:rPr>
        <w:t>900-220-08</w:t>
      </w:r>
      <w:r>
        <w:rPr>
          <w:rFonts w:hint="eastAsia" w:ascii="Times New Roman" w:hAnsi="Times New Roman" w:eastAsia="宋体" w:cs="Times New Roman"/>
          <w:sz w:val="24"/>
          <w:szCs w:val="24"/>
        </w:rPr>
        <w:t>，</w:t>
      </w:r>
      <w:r>
        <w:rPr>
          <w:rFonts w:ascii="Times New Roman" w:hAnsi="Times New Roman" w:eastAsia="宋体" w:cs="Times New Roman"/>
          <w:sz w:val="24"/>
          <w:szCs w:val="24"/>
        </w:rPr>
        <w:t>900-222-08</w:t>
      </w:r>
      <w:r>
        <w:rPr>
          <w:rFonts w:hint="eastAsia" w:ascii="Times New Roman" w:hAnsi="Times New Roman" w:eastAsia="宋体" w:cs="Times New Roman"/>
          <w:sz w:val="24"/>
          <w:szCs w:val="24"/>
        </w:rPr>
        <w:t>，</w:t>
      </w:r>
      <w:r>
        <w:rPr>
          <w:rFonts w:ascii="Times New Roman" w:hAnsi="Times New Roman" w:eastAsia="宋体" w:cs="Times New Roman"/>
          <w:sz w:val="24"/>
          <w:szCs w:val="24"/>
        </w:rPr>
        <w:t>900-249-08</w:t>
      </w:r>
      <w:r>
        <w:rPr>
          <w:rFonts w:hint="eastAsia" w:ascii="Times New Roman" w:hAnsi="Times New Roman" w:eastAsia="宋体" w:cs="Times New Roman"/>
          <w:sz w:val="24"/>
          <w:szCs w:val="24"/>
        </w:rPr>
        <w:t>共20种类别废矿物油，由于</w:t>
      </w:r>
      <w:r>
        <w:rPr>
          <w:rFonts w:ascii="Times New Roman" w:hAnsi="Times New Roman" w:eastAsia="宋体" w:cs="Times New Roman"/>
          <w:sz w:val="24"/>
          <w:szCs w:val="24"/>
        </w:rPr>
        <w:t>251-001-08</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251-005-08</w:t>
      </w:r>
      <w:r>
        <w:rPr>
          <w:rFonts w:hint="eastAsia" w:ascii="Times New Roman" w:hAnsi="Times New Roman" w:eastAsia="宋体" w:cs="Times New Roman"/>
          <w:sz w:val="24"/>
          <w:szCs w:val="24"/>
        </w:rPr>
        <w:t>含水率较高，预处理难度大，</w:t>
      </w:r>
      <w:r>
        <w:rPr>
          <w:rFonts w:ascii="Times New Roman" w:hAnsi="Times New Roman" w:eastAsia="宋体" w:cs="Times New Roman"/>
          <w:sz w:val="24"/>
          <w:szCs w:val="24"/>
        </w:rPr>
        <w:t>变更后</w:t>
      </w:r>
      <w:r>
        <w:rPr>
          <w:rFonts w:hint="eastAsia" w:ascii="Times New Roman" w:hAnsi="Times New Roman" w:eastAsia="宋体" w:cs="Times New Roman"/>
          <w:sz w:val="24"/>
          <w:szCs w:val="24"/>
        </w:rPr>
        <w:t>，去掉</w:t>
      </w:r>
      <w:r>
        <w:rPr>
          <w:rFonts w:ascii="Times New Roman" w:hAnsi="Times New Roman" w:eastAsia="宋体" w:cs="Times New Roman"/>
          <w:sz w:val="24"/>
          <w:szCs w:val="24"/>
        </w:rPr>
        <w:t>251-001-08</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251-005-08</w:t>
      </w:r>
      <w:r>
        <w:rPr>
          <w:rFonts w:hint="eastAsia" w:ascii="Times New Roman" w:hAnsi="Times New Roman" w:eastAsia="宋体" w:cs="Times New Roman"/>
          <w:sz w:val="24"/>
          <w:szCs w:val="24"/>
        </w:rPr>
        <w:t>两个类别，去掉了糠醛精制工序，因此，</w:t>
      </w:r>
      <w:r>
        <w:rPr>
          <w:rFonts w:ascii="Times New Roman" w:hAnsi="Times New Roman" w:eastAsia="宋体" w:cs="Times New Roman"/>
          <w:sz w:val="24"/>
          <w:szCs w:val="24"/>
        </w:rPr>
        <w:t>不需要</w:t>
      </w:r>
      <w:r>
        <w:rPr>
          <w:rFonts w:hint="eastAsia" w:ascii="Times New Roman" w:hAnsi="Times New Roman" w:eastAsia="宋体" w:cs="Times New Roman"/>
          <w:sz w:val="24"/>
          <w:szCs w:val="24"/>
        </w:rPr>
        <w:t>消耗糠醛溶剂。</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r>
        <w:rPr>
          <w:rFonts w:hint="eastAsia" w:ascii="Times New Roman" w:hAnsi="Times New Roman" w:eastAsia="宋体" w:cs="Times New Roman"/>
          <w:sz w:val="24"/>
          <w:szCs w:val="24"/>
        </w:rPr>
        <w:t>供热方面</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原拟采用熔盐炉作为生产设备热源。考虑到熔盐炉对设备材料要求较高，</w:t>
      </w:r>
      <w:r>
        <w:rPr>
          <w:rFonts w:ascii="Times New Roman" w:hAnsi="Times New Roman" w:eastAsia="宋体" w:cs="Times New Roman"/>
          <w:sz w:val="24"/>
          <w:szCs w:val="24"/>
        </w:rPr>
        <w:t>腐蚀性</w:t>
      </w:r>
      <w:r>
        <w:rPr>
          <w:rFonts w:hint="eastAsia" w:ascii="Times New Roman" w:hAnsi="Times New Roman" w:eastAsia="宋体" w:cs="Times New Roman"/>
          <w:sz w:val="24"/>
          <w:szCs w:val="24"/>
        </w:rPr>
        <w:t>强，</w:t>
      </w:r>
      <w:r>
        <w:rPr>
          <w:rFonts w:ascii="Times New Roman" w:hAnsi="Times New Roman" w:eastAsia="宋体" w:cs="Times New Roman"/>
          <w:sz w:val="24"/>
          <w:szCs w:val="24"/>
        </w:rPr>
        <w:t>操作</w:t>
      </w:r>
      <w:r>
        <w:rPr>
          <w:rFonts w:hint="eastAsia" w:ascii="Times New Roman" w:hAnsi="Times New Roman" w:eastAsia="宋体" w:cs="Times New Roman"/>
          <w:sz w:val="24"/>
          <w:szCs w:val="24"/>
        </w:rPr>
        <w:t>复杂，维护成本较高等缺点，拟将熔盐炉更换为导热油炉为设备供热，导热油炉具有易于维护，</w:t>
      </w:r>
      <w:r>
        <w:rPr>
          <w:rFonts w:ascii="Times New Roman" w:hAnsi="Times New Roman" w:eastAsia="宋体" w:cs="Times New Roman"/>
          <w:sz w:val="24"/>
          <w:szCs w:val="24"/>
        </w:rPr>
        <w:t>温控</w:t>
      </w:r>
      <w:r>
        <w:rPr>
          <w:rFonts w:hint="eastAsia" w:ascii="Times New Roman" w:hAnsi="Times New Roman" w:eastAsia="宋体" w:cs="Times New Roman"/>
          <w:sz w:val="24"/>
          <w:szCs w:val="24"/>
        </w:rPr>
        <w:t>准确，</w:t>
      </w:r>
      <w:r>
        <w:rPr>
          <w:rFonts w:ascii="Times New Roman" w:hAnsi="Times New Roman" w:eastAsia="宋体" w:cs="Times New Roman"/>
          <w:sz w:val="24"/>
          <w:szCs w:val="24"/>
        </w:rPr>
        <w:t>设备</w:t>
      </w:r>
      <w:r>
        <w:rPr>
          <w:rFonts w:hint="eastAsia" w:ascii="Times New Roman" w:hAnsi="Times New Roman" w:eastAsia="宋体" w:cs="Times New Roman"/>
          <w:sz w:val="24"/>
          <w:szCs w:val="24"/>
        </w:rPr>
        <w:t>维护费用低等优点。</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（4）环境风险方面</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原环评要求建设一座</w:t>
      </w:r>
      <w:r>
        <w:rPr>
          <w:rFonts w:ascii="Times New Roman" w:hAnsi="Times New Roman" w:eastAsia="宋体" w:cs="Times New Roman"/>
          <w:kern w:val="0"/>
          <w:sz w:val="24"/>
          <w:szCs w:val="24"/>
        </w:rPr>
        <w:t>2000m</w:t>
      </w:r>
      <w:r>
        <w:rPr>
          <w:rFonts w:ascii="Times New Roman" w:hAnsi="Times New Roman" w:eastAsia="宋体" w:cs="Times New Roman"/>
          <w:kern w:val="0"/>
          <w:sz w:val="24"/>
          <w:szCs w:val="24"/>
          <w:vertAlign w:val="superscript"/>
        </w:rPr>
        <w:t>3</w:t>
      </w:r>
      <w:r>
        <w:rPr>
          <w:rFonts w:ascii="Times New Roman" w:hAnsi="Times New Roman" w:eastAsia="宋体" w:cs="Times New Roman"/>
          <w:kern w:val="0"/>
          <w:sz w:val="24"/>
          <w:szCs w:val="24"/>
        </w:rPr>
        <w:t>事故池，兼初期雨水池</w:t>
      </w:r>
      <w:r>
        <w:rPr>
          <w:rFonts w:hint="eastAsia" w:ascii="Times New Roman" w:hAnsi="Times New Roman" w:eastAsia="宋体" w:cs="Times New Roman"/>
          <w:kern w:val="0"/>
          <w:sz w:val="24"/>
          <w:szCs w:val="24"/>
        </w:rPr>
        <w:t>，考虑到项目后期扩建的需求，</w:t>
      </w:r>
      <w:r>
        <w:rPr>
          <w:rFonts w:ascii="Times New Roman" w:hAnsi="Times New Roman" w:eastAsia="宋体" w:cs="Times New Roman"/>
          <w:kern w:val="0"/>
          <w:sz w:val="24"/>
          <w:szCs w:val="24"/>
        </w:rPr>
        <w:t>项目</w:t>
      </w:r>
      <w:r>
        <w:rPr>
          <w:rFonts w:hint="eastAsia" w:ascii="Times New Roman" w:hAnsi="Times New Roman" w:eastAsia="宋体" w:cs="Times New Roman"/>
          <w:kern w:val="0"/>
          <w:sz w:val="24"/>
          <w:szCs w:val="24"/>
        </w:rPr>
        <w:t>拟在原料罐区南侧新增1座</w:t>
      </w:r>
      <w:r>
        <w:rPr>
          <w:rFonts w:ascii="Times New Roman" w:hAnsi="Times New Roman" w:eastAsia="宋体" w:cs="Times New Roman"/>
          <w:kern w:val="0"/>
          <w:sz w:val="24"/>
          <w:szCs w:val="24"/>
        </w:rPr>
        <w:t>200m</w:t>
      </w:r>
      <w:r>
        <w:rPr>
          <w:rFonts w:ascii="Times New Roman" w:hAnsi="Times New Roman" w:eastAsia="宋体" w:cs="Times New Roman"/>
          <w:kern w:val="0"/>
          <w:sz w:val="24"/>
          <w:szCs w:val="24"/>
          <w:vertAlign w:val="superscript"/>
        </w:rPr>
        <w:t>3</w:t>
      </w:r>
      <w:r>
        <w:rPr>
          <w:rFonts w:hint="eastAsia" w:ascii="Times New Roman" w:hAnsi="Times New Roman" w:eastAsia="宋体" w:cs="Times New Roman"/>
          <w:kern w:val="0"/>
          <w:sz w:val="24"/>
          <w:szCs w:val="24"/>
        </w:rPr>
        <w:t>初期雨水池，收集原料罐区的初期雨水，</w:t>
      </w:r>
      <w:r>
        <w:rPr>
          <w:rFonts w:ascii="Times New Roman" w:hAnsi="Times New Roman" w:eastAsia="宋体" w:cs="Times New Roman"/>
          <w:kern w:val="0"/>
          <w:sz w:val="24"/>
          <w:szCs w:val="24"/>
        </w:rPr>
        <w:t>减轻</w:t>
      </w:r>
      <w:r>
        <w:rPr>
          <w:rFonts w:hint="eastAsia" w:ascii="Times New Roman" w:hAnsi="Times New Roman" w:eastAsia="宋体" w:cs="Times New Roman"/>
          <w:kern w:val="0"/>
          <w:sz w:val="24"/>
          <w:szCs w:val="24"/>
        </w:rPr>
        <w:t>了原事故池的负荷。</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环保措施方面</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废水：变更前，污水处理站处理工艺为“</w:t>
      </w:r>
      <w:r>
        <w:rPr>
          <w:rFonts w:ascii="Times New Roman" w:hAnsi="Times New Roman" w:eastAsia="宋体" w:cs="Times New Roman"/>
          <w:sz w:val="24"/>
          <w:szCs w:val="24"/>
        </w:rPr>
        <w:t>隔油+油水分离+混凝沉淀+气浮+高级氧化+水解酸化+UASB+A/O+MBR”</w:t>
      </w:r>
      <w:r>
        <w:rPr>
          <w:rFonts w:hint="eastAsia" w:ascii="Times New Roman" w:hAnsi="Times New Roman" w:eastAsia="宋体" w:cs="Times New Roman"/>
          <w:sz w:val="24"/>
          <w:szCs w:val="24"/>
        </w:rPr>
        <w:t>，</w:t>
      </w:r>
      <w:r>
        <w:rPr>
          <w:rFonts w:ascii="Times New Roman" w:hAnsi="Times New Roman" w:eastAsia="宋体" w:cs="Times New Roman"/>
          <w:sz w:val="24"/>
          <w:szCs w:val="24"/>
        </w:rPr>
        <w:t>变更后</w:t>
      </w:r>
      <w:r>
        <w:rPr>
          <w:rFonts w:hint="eastAsia" w:ascii="Times New Roman" w:hAnsi="Times New Roman" w:eastAsia="宋体" w:cs="Times New Roman"/>
          <w:sz w:val="24"/>
          <w:szCs w:val="24"/>
        </w:rPr>
        <w:t>，不再产生糠醛废水，废水的水质水量产生情况发生改变，故对污水处理站处理工艺进行调整，</w:t>
      </w:r>
      <w:r>
        <w:rPr>
          <w:rFonts w:ascii="Times New Roman" w:hAnsi="Times New Roman" w:eastAsia="宋体" w:cs="Times New Roman"/>
          <w:sz w:val="24"/>
          <w:szCs w:val="24"/>
        </w:rPr>
        <w:t>调整后</w:t>
      </w:r>
      <w:r>
        <w:rPr>
          <w:rFonts w:hint="eastAsia" w:ascii="Times New Roman" w:hAnsi="Times New Roman" w:eastAsia="宋体" w:cs="Times New Roman"/>
          <w:sz w:val="24"/>
          <w:szCs w:val="24"/>
        </w:rPr>
        <w:t>的污水处理工艺为</w:t>
      </w:r>
      <w:r>
        <w:rPr>
          <w:rFonts w:ascii="Times New Roman" w:hAnsi="Times New Roman" w:eastAsia="宋体" w:cs="Times New Roman"/>
          <w:sz w:val="24"/>
          <w:szCs w:val="24"/>
        </w:rPr>
        <w:t>“隔油+气浮+</w:t>
      </w:r>
      <w:r>
        <w:rPr>
          <w:rFonts w:hint="eastAsia" w:ascii="Times New Roman" w:hAnsi="Times New Roman" w:eastAsia="宋体" w:cs="Times New Roman"/>
          <w:sz w:val="24"/>
          <w:szCs w:val="24"/>
        </w:rPr>
        <w:t>UASB</w:t>
      </w:r>
      <w:r>
        <w:rPr>
          <w:rFonts w:ascii="Times New Roman" w:hAnsi="Times New Roman" w:eastAsia="宋体" w:cs="Times New Roman"/>
          <w:sz w:val="24"/>
          <w:szCs w:val="24"/>
        </w:rPr>
        <w:t>+</w:t>
      </w:r>
      <w:r>
        <w:rPr>
          <w:rFonts w:hint="eastAsia" w:ascii="Times New Roman" w:hAnsi="Times New Roman" w:eastAsia="宋体" w:cs="Times New Roman"/>
          <w:sz w:val="24"/>
          <w:szCs w:val="24"/>
        </w:rPr>
        <w:t>A/O</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sectPr>
          <w:footerReference r:id="rId4" w:type="default"/>
          <w:pgSz w:w="11906" w:h="16838"/>
          <w:pgMar w:top="1440" w:right="1800" w:bottom="1440" w:left="1800" w:header="851" w:footer="992" w:gutter="0"/>
          <w:pgNumType w:start="1"/>
          <w:cols w:space="425" w:num="1"/>
          <w:docGrid w:type="lines" w:linePitch="312" w:charSpace="0"/>
        </w:sectPr>
      </w:pPr>
    </w:p>
    <w:p>
      <w:pPr>
        <w:pStyle w:val="38"/>
      </w:pPr>
      <w:bookmarkStart w:id="5" w:name="_Toc8391517"/>
      <w:r>
        <w:rPr>
          <w:rFonts w:hint="eastAsia"/>
        </w:rPr>
        <w:t>2 变更报告编制依据</w:t>
      </w:r>
      <w:bookmarkEnd w:id="5"/>
    </w:p>
    <w:p>
      <w:pPr>
        <w:pStyle w:val="39"/>
        <w:rPr>
          <w:color w:val="auto"/>
        </w:rPr>
      </w:pPr>
      <w:bookmarkStart w:id="6" w:name="_Toc8391518"/>
      <w:r>
        <w:rPr>
          <w:rFonts w:hint="eastAsia"/>
          <w:color w:val="auto"/>
        </w:rPr>
        <w:t>2</w:t>
      </w:r>
      <w:r>
        <w:rPr>
          <w:color w:val="auto"/>
        </w:rPr>
        <w:t xml:space="preserve">.1 </w:t>
      </w:r>
      <w:r>
        <w:rPr>
          <w:rFonts w:hint="eastAsia"/>
          <w:color w:val="auto"/>
        </w:rPr>
        <w:t>编制依据</w:t>
      </w:r>
      <w:bookmarkEnd w:id="6"/>
    </w:p>
    <w:p>
      <w:pPr>
        <w:pStyle w:val="40"/>
        <w:rPr>
          <w:snapToGrid w:val="0"/>
          <w:color w:val="auto"/>
        </w:rPr>
      </w:pPr>
      <w:bookmarkStart w:id="7" w:name="_Toc516060299"/>
      <w:bookmarkStart w:id="8" w:name="_Toc8391519"/>
      <w:r>
        <w:rPr>
          <w:snapToGrid w:val="0"/>
          <w:color w:val="auto"/>
        </w:rPr>
        <w:t>2.1.1 国家法律法规及规范行文件</w:t>
      </w:r>
      <w:bookmarkEnd w:id="7"/>
      <w:bookmarkEnd w:id="8"/>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1）《中华人民共和国环境保护法》</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2015年01月01日实施</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2）《中华人民共和国环境影响评价法》（2018</w:t>
      </w:r>
      <w:r>
        <w:rPr>
          <w:rFonts w:hint="eastAsia" w:ascii="Times New Roman" w:hAnsi="Times New Roman" w:eastAsia="宋体" w:cs="Times New Roman"/>
          <w:sz w:val="24"/>
          <w:szCs w:val="24"/>
        </w:rPr>
        <w:t>年修正版</w:t>
      </w:r>
      <w:r>
        <w:rPr>
          <w:rFonts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3）《中华人民共和国水污染防治法》（2017年6月27日</w:t>
      </w:r>
      <w:r>
        <w:rPr>
          <w:rFonts w:hint="eastAsia" w:ascii="Times New Roman" w:hAnsi="Times New Roman" w:eastAsia="宋体" w:cs="Times New Roman"/>
          <w:sz w:val="24"/>
          <w:szCs w:val="24"/>
        </w:rPr>
        <w:t>修订</w:t>
      </w:r>
      <w:r>
        <w:rPr>
          <w:rFonts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4）《中华人民共和国固体废物污染环境防治法》</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2016年11月7日</w:t>
      </w:r>
      <w:r>
        <w:rPr>
          <w:rFonts w:hint="eastAsia" w:ascii="Times New Roman" w:hAnsi="Times New Roman" w:eastAsia="宋体" w:cs="Times New Roman"/>
          <w:sz w:val="24"/>
          <w:szCs w:val="24"/>
        </w:rPr>
        <w:t>修订）</w:t>
      </w:r>
      <w:r>
        <w:rPr>
          <w:rFonts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5）《中华人民共和国环境噪声污染防治法》（2018年12月</w:t>
      </w:r>
      <w:r>
        <w:rPr>
          <w:rFonts w:hint="eastAsia" w:ascii="Times New Roman" w:hAnsi="Times New Roman" w:eastAsia="宋体" w:cs="Times New Roman"/>
          <w:sz w:val="24"/>
          <w:szCs w:val="24"/>
        </w:rPr>
        <w:t>29</w:t>
      </w:r>
      <w:r>
        <w:rPr>
          <w:rFonts w:ascii="Times New Roman" w:hAnsi="Times New Roman" w:eastAsia="宋体" w:cs="Times New Roman"/>
          <w:sz w:val="24"/>
          <w:szCs w:val="24"/>
        </w:rPr>
        <w:t>日</w:t>
      </w:r>
      <w:r>
        <w:rPr>
          <w:rFonts w:hint="eastAsia" w:ascii="Times New Roman" w:hAnsi="Times New Roman" w:eastAsia="宋体" w:cs="Times New Roman"/>
          <w:sz w:val="24"/>
          <w:szCs w:val="24"/>
        </w:rPr>
        <w:t>发布</w:t>
      </w:r>
      <w:r>
        <w:rPr>
          <w:rFonts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6）《中华人民共和国大气污染防治法》</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2018年10月26日</w:t>
      </w:r>
      <w:r>
        <w:rPr>
          <w:rFonts w:hint="eastAsia" w:ascii="Times New Roman" w:hAnsi="Times New Roman" w:eastAsia="宋体" w:cs="Times New Roman"/>
          <w:sz w:val="24"/>
          <w:szCs w:val="24"/>
        </w:rPr>
        <w:t>修正）</w:t>
      </w:r>
      <w:r>
        <w:rPr>
          <w:rFonts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7）《中华人民共和国清洁生产促进法》（2012年2月29日修订）；</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（8）《中华人民共和国循环经济促进法》（2009年1月1日）；</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9）</w:t>
      </w:r>
      <w:r>
        <w:rPr>
          <w:rFonts w:hint="eastAsia" w:ascii="Times New Roman" w:hAnsi="Times New Roman" w:eastAsia="宋体" w:cs="Times New Roman"/>
          <w:sz w:val="24"/>
          <w:szCs w:val="24"/>
        </w:rPr>
        <w:t>《关于修改</w:t>
      </w:r>
      <w:r>
        <w:rPr>
          <w:rFonts w:ascii="Times New Roman" w:hAnsi="Times New Roman" w:eastAsia="宋体" w:cs="Times New Roman"/>
          <w:sz w:val="24"/>
          <w:szCs w:val="24"/>
        </w:rPr>
        <w:t>&lt;建设项目环境保护管理条例&gt;的决定》（2017年7月16日发布，2017年10月1日起施行）；</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10）《建设项目环境影响评价分类管理名录》（2018</w:t>
      </w:r>
      <w:r>
        <w:rPr>
          <w:rFonts w:hint="eastAsia" w:ascii="Times New Roman" w:hAnsi="Times New Roman" w:eastAsia="宋体" w:cs="Times New Roman"/>
          <w:sz w:val="24"/>
          <w:szCs w:val="24"/>
        </w:rPr>
        <w:t>年4月28日修正版</w:t>
      </w:r>
      <w:r>
        <w:rPr>
          <w:rFonts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11）</w:t>
      </w:r>
      <w:r>
        <w:rPr>
          <w:rFonts w:hint="eastAsia" w:ascii="Times New Roman" w:hAnsi="Times New Roman" w:eastAsia="宋体" w:cs="Times New Roman"/>
          <w:sz w:val="24"/>
          <w:szCs w:val="24"/>
        </w:rPr>
        <w:t>《环境影响评价公众参与办法》（生态环境部令 第4号</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2</w:t>
      </w:r>
      <w:r>
        <w:rPr>
          <w:rFonts w:ascii="Times New Roman" w:hAnsi="Times New Roman" w:eastAsia="宋体" w:cs="Times New Roman"/>
          <w:sz w:val="24"/>
          <w:szCs w:val="24"/>
        </w:rPr>
        <w:t>）《关于加强污染源环境监管信息公开工作的通知》（环发［2013］74号)；</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13）《关于进一步加强建设项目环境保护工作的通知》（2001年2月21日）；</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14）《产业结构调整指导目录（2011年本）》（2013年2月16日修订）；</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15）《国务院关于印发节能减排综合性工作方案的通知》</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国发[2007]15号文，2007年5月23日）；</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16）《国务院关于环境保护若干问题的决定》</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国发〔1996〕31号）；</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17）《关于对重大环境污染事故隐患进行风险评价的通知》</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国家环保局（90）环管字第057号</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18）《关于加强环境影响评价管理防范环境风险的通知》</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国家环境保护总局环发［2005］152号</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19）《环境保护部关于进一步加强环境影响评价管理防范环境风险的通知》（环发[2012]77号）；</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20）《环境保护部关于切实加强风险防范严格环境影响评价管理的通知》（环发[2012]98号）；</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21）《关于印发建设项目环境影响评价信息公开机制方案的通知》（环发(2015)162号）；</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22）《化学危险品安全管理条例》（2011年3月2日）</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（23）《“十二五”资源综合利用指导意见》（发改环资［2011］2919号）；</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（24）《再生资源回收管理办法》（商务部令2007年第8号）；</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ascii="Times New Roman" w:hAnsi="Times New Roman" w:eastAsia="宋体" w:cs="Times New Roman"/>
          <w:sz w:val="24"/>
          <w:szCs w:val="24"/>
        </w:rPr>
        <w:t>5）《中国资源综合利用技术政策大纲》（2010年第14号公告）；</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ascii="Times New Roman" w:hAnsi="Times New Roman" w:eastAsia="宋体" w:cs="Times New Roman"/>
          <w:sz w:val="24"/>
          <w:szCs w:val="24"/>
        </w:rPr>
        <w:t>6）《关于支持循环经济发展的投融资政策措施意见的通知》（发改环资［2010］801号）；</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ascii="Times New Roman" w:hAnsi="Times New Roman" w:eastAsia="宋体" w:cs="Times New Roman"/>
          <w:sz w:val="24"/>
          <w:szCs w:val="24"/>
        </w:rPr>
        <w:t>7）《再生资源综合利用先进适用技术目录（第一批）》（中华人民共和国工业和信息化部公告 2012年第1号）；</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8）《废</w:t>
      </w:r>
      <w:r>
        <w:rPr>
          <w:rFonts w:hint="eastAsia" w:ascii="Times New Roman" w:hAnsi="Times New Roman" w:eastAsia="宋体" w:cs="Times New Roman"/>
          <w:sz w:val="24"/>
          <w:szCs w:val="24"/>
        </w:rPr>
        <w:t>矿物油</w:t>
      </w:r>
      <w:r>
        <w:rPr>
          <w:rFonts w:ascii="Times New Roman" w:hAnsi="Times New Roman" w:eastAsia="宋体" w:cs="Times New Roman"/>
          <w:sz w:val="24"/>
          <w:szCs w:val="24"/>
        </w:rPr>
        <w:t>综合利用行业</w:t>
      </w:r>
      <w:r>
        <w:rPr>
          <w:rFonts w:hint="eastAsia" w:ascii="Times New Roman" w:hAnsi="Times New Roman" w:eastAsia="宋体" w:cs="Times New Roman"/>
          <w:sz w:val="24"/>
          <w:szCs w:val="24"/>
        </w:rPr>
        <w:t>规范</w:t>
      </w:r>
      <w:r>
        <w:rPr>
          <w:rFonts w:ascii="Times New Roman" w:hAnsi="Times New Roman" w:eastAsia="宋体" w:cs="Times New Roman"/>
          <w:sz w:val="24"/>
          <w:szCs w:val="24"/>
        </w:rPr>
        <w:t>条件》（</w:t>
      </w:r>
      <w:r>
        <w:rPr>
          <w:rFonts w:hint="eastAsia" w:ascii="Times New Roman" w:hAnsi="Times New Roman" w:eastAsia="宋体" w:cs="Times New Roman"/>
          <w:sz w:val="24"/>
          <w:szCs w:val="24"/>
        </w:rPr>
        <w:t>中华人民共和国工业和信息部公告</w:t>
      </w:r>
      <w:r>
        <w:rPr>
          <w:rFonts w:ascii="Times New Roman" w:hAnsi="Times New Roman" w:eastAsia="宋体" w:cs="Times New Roman"/>
          <w:sz w:val="24"/>
          <w:szCs w:val="24"/>
        </w:rPr>
        <w:t>2015</w:t>
      </w:r>
      <w:r>
        <w:rPr>
          <w:rFonts w:hint="eastAsia" w:ascii="Times New Roman" w:hAnsi="Times New Roman" w:eastAsia="宋体" w:cs="Times New Roman"/>
          <w:sz w:val="24"/>
          <w:szCs w:val="24"/>
        </w:rPr>
        <w:t>年第</w:t>
      </w:r>
      <w:r>
        <w:rPr>
          <w:rFonts w:ascii="Times New Roman" w:hAnsi="Times New Roman" w:eastAsia="宋体" w:cs="Times New Roman"/>
          <w:sz w:val="24"/>
          <w:szCs w:val="24"/>
        </w:rPr>
        <w:t>79</w:t>
      </w:r>
      <w:r>
        <w:rPr>
          <w:rFonts w:hint="eastAsia" w:ascii="Times New Roman" w:hAnsi="Times New Roman" w:eastAsia="宋体" w:cs="Times New Roman"/>
          <w:sz w:val="24"/>
          <w:szCs w:val="24"/>
        </w:rPr>
        <w:t>号</w:t>
      </w:r>
      <w:r>
        <w:rPr>
          <w:rFonts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9</w:t>
      </w:r>
      <w:r>
        <w:rPr>
          <w:rFonts w:hint="eastAsia" w:ascii="Times New Roman" w:hAnsi="Times New Roman" w:eastAsia="宋体" w:cs="Times New Roman"/>
          <w:sz w:val="24"/>
          <w:szCs w:val="24"/>
        </w:rPr>
        <w:t>）</w:t>
      </w:r>
      <w:r>
        <w:rPr>
          <w:rFonts w:ascii="Times New Roman" w:hAnsi="Times New Roman" w:eastAsia="宋体" w:cs="Times New Roman"/>
          <w:sz w:val="24"/>
          <w:szCs w:val="24"/>
        </w:rPr>
        <w:t>《关于印发&lt;京津冀及周边地区落实大气污染防治行动计划实施细则&gt;的通知》</w:t>
      </w:r>
      <w:r>
        <w:rPr>
          <w:rFonts w:hint="eastAsia" w:ascii="Times New Roman" w:hAnsi="Times New Roman" w:eastAsia="宋体" w:cs="Times New Roman"/>
          <w:sz w:val="24"/>
          <w:szCs w:val="24"/>
        </w:rPr>
        <w:t>（</w:t>
      </w:r>
      <w:r>
        <w:rPr>
          <w:rFonts w:ascii="Times New Roman" w:hAnsi="Times New Roman" w:eastAsia="宋体" w:cs="Times New Roman"/>
          <w:sz w:val="24"/>
          <w:szCs w:val="24"/>
        </w:rPr>
        <w:t>环发［2013］104 号</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30）《危险废物转移联单管理办法》（国家环保总局令［1999］第5号）</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31）《危险废物经营许可证管理办法》（国务院令［2004］第408号</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32）《危险化学品安全管理条例》（中华人民共和国国务院令第591号）；</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33）《关于印发&lt;石化行业VOCs污染源排查工作指南&gt;及&lt;石化企业泄漏检测与修复工作指南&gt;的通知》（环办［2015］104号）</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4）《关于加强化工企业等重点排污单位特征污染物监测工作的通知》（环办监测函［2016］1686 号）</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5）《挥发性有机物（VOCs）污染防治技术政策》（环保部公告2013年第31号）</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6）《突发环境事件应急管理办法》（环保部令2015年第34号</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（37）《关于落实大气污染防治行动计划严格环境影响评价准入的通知》（环办［2014］30号）；</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38）</w:t>
      </w:r>
      <w:r>
        <w:rPr>
          <w:rFonts w:hint="eastAsia" w:ascii="Times New Roman" w:hAnsi="Times New Roman" w:eastAsia="宋体" w:cs="Times New Roman"/>
          <w:sz w:val="24"/>
          <w:szCs w:val="24"/>
        </w:rPr>
        <w:t>《国务院关于印发水污染防治行动计划的通知》（国发〔</w:t>
      </w:r>
      <w:r>
        <w:rPr>
          <w:rFonts w:ascii="Times New Roman" w:hAnsi="Times New Roman" w:eastAsia="宋体" w:cs="Times New Roman"/>
          <w:sz w:val="24"/>
          <w:szCs w:val="24"/>
        </w:rPr>
        <w:t>2015〕17号）</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39）</w:t>
      </w:r>
      <w:r>
        <w:rPr>
          <w:rFonts w:hint="eastAsia" w:ascii="Times New Roman" w:hAnsi="Times New Roman" w:eastAsia="宋体" w:cs="Times New Roman"/>
          <w:sz w:val="24"/>
          <w:szCs w:val="24"/>
        </w:rPr>
        <w:t>《国务院关于印发大气污染防治行动计划的通知》（国发〔2013〕37号）；</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40）</w:t>
      </w:r>
      <w:r>
        <w:rPr>
          <w:rFonts w:hint="eastAsia" w:ascii="Times New Roman" w:hAnsi="Times New Roman" w:eastAsia="宋体" w:cs="Times New Roman"/>
          <w:sz w:val="24"/>
          <w:szCs w:val="24"/>
        </w:rPr>
        <w:t>《国务院关于印发土壤污染防治行动计划的通知》（国发〔2016〕31号）；</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41）</w:t>
      </w:r>
      <w:r>
        <w:rPr>
          <w:rFonts w:hint="eastAsia" w:ascii="Times New Roman" w:hAnsi="Times New Roman" w:eastAsia="宋体" w:cs="Times New Roman"/>
          <w:sz w:val="24"/>
          <w:szCs w:val="24"/>
        </w:rPr>
        <w:t>《国务院关于印发打赢蓝天保卫战三年行动计划的通知</w:t>
      </w:r>
      <w:r>
        <w:rPr>
          <w:rFonts w:ascii="Times New Roman" w:hAnsi="Times New Roman" w:eastAsia="宋体" w:cs="Times New Roman"/>
          <w:sz w:val="24"/>
          <w:szCs w:val="24"/>
        </w:rPr>
        <w:t>》</w:t>
      </w:r>
      <w:r>
        <w:rPr>
          <w:rFonts w:hint="eastAsia" w:ascii="Times New Roman" w:hAnsi="Times New Roman" w:eastAsia="宋体" w:cs="Times New Roman"/>
          <w:sz w:val="24"/>
          <w:szCs w:val="24"/>
        </w:rPr>
        <w:t>（国发〔201</w:t>
      </w:r>
      <w:r>
        <w:rPr>
          <w:rFonts w:ascii="Times New Roman" w:hAnsi="Times New Roman" w:eastAsia="宋体" w:cs="Times New Roman"/>
          <w:sz w:val="24"/>
          <w:szCs w:val="24"/>
        </w:rPr>
        <w:t>8</w:t>
      </w:r>
      <w:r>
        <w:rPr>
          <w:rFonts w:hint="eastAsia" w:ascii="Times New Roman" w:hAnsi="Times New Roman" w:eastAsia="宋体" w:cs="Times New Roman"/>
          <w:sz w:val="24"/>
          <w:szCs w:val="24"/>
        </w:rPr>
        <w:t>〕</w:t>
      </w:r>
      <w:r>
        <w:rPr>
          <w:rFonts w:ascii="Times New Roman" w:hAnsi="Times New Roman" w:eastAsia="宋体" w:cs="Times New Roman"/>
          <w:sz w:val="24"/>
          <w:szCs w:val="24"/>
        </w:rPr>
        <w:t>22</w:t>
      </w:r>
      <w:r>
        <w:rPr>
          <w:rFonts w:hint="eastAsia" w:ascii="Times New Roman" w:hAnsi="Times New Roman" w:eastAsia="宋体" w:cs="Times New Roman"/>
          <w:sz w:val="24"/>
          <w:szCs w:val="24"/>
        </w:rPr>
        <w:t>号</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pPr>
        <w:spacing w:before="80" w:after="80" w:line="520" w:lineRule="exact"/>
        <w:outlineLvl w:val="2"/>
        <w:rPr>
          <w:rFonts w:ascii="Times New Roman" w:hAnsi="Times New Roman" w:eastAsia="楷体" w:cs="Times New Roman"/>
          <w:sz w:val="28"/>
          <w:szCs w:val="28"/>
        </w:rPr>
      </w:pPr>
      <w:bookmarkStart w:id="9" w:name="_Toc8391520"/>
      <w:bookmarkStart w:id="10" w:name="_Toc512973526"/>
      <w:r>
        <w:rPr>
          <w:rFonts w:ascii="Times New Roman" w:hAnsi="Times New Roman" w:eastAsia="楷体" w:cs="Times New Roman"/>
          <w:sz w:val="28"/>
          <w:szCs w:val="28"/>
        </w:rPr>
        <w:t>2.1.2 地方环保法律法规、政策</w:t>
      </w:r>
      <w:bookmarkEnd w:id="9"/>
      <w:bookmarkEnd w:id="10"/>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（1）《河南省建设项目环境保护条例》（2007年5月1日）；</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（2）《河南省固体废物污染环境防治条例》（2012年1月1日）；</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（3）《河南省减少污染物排放条例》（2013年11月04日）；</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（4）《河南省水污染防治条例》（2010年04月06日）；</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（5）《河南省环境保护局关于贯彻实施《环境影响评价公众参与暂行办法》的通知》（豫环文［2006］2号）；</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（6）《河南省人民政府办公厅关于印发《河南省城市集中式饮用水源保护区划》的通知》（豫政办［2007］125号）；</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（7）《河南省人民政府办公厅关于印发《河南省县级集中式饮用水水源保护区划》的通知》（豫政办［2013］107号）；</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（8）《河南省人民政府办公厅关于印发河南省乡镇集中式饮用水水源保护区划的通知》（豫政办［2016］23号）；</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（9）《河南省人民政府关于印发河南省主体功能区规划的通知》（豫政［2014］12号）；</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（10）《河南省环境保护厅关于印发深化建设项目环境影响评价审批制度改革实施意见的通知》（豫环文［2015］33号）；</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（11）《河南省水环境功能区划》（2006年7月）；</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（12）《河南省环境保护厅关于加强建设单位环评信息公开工作的公告》（2016年第7号）；</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（13）《河南省环境保护厅关于加强环评管理防范环境风险的通知》（豫环文［2012］159号）；</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（14）《关于印发河南省2018年大气污染防治攻坚战实施方案的通知》（豫政办〔2018〕14号）；</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（15）《关于全省开展工业企业挥发性有机物专项治理工作中排放建议值的通知》（豫环攻坚办［2017］162号）；</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（16）《河南省2017年挥发性有机物专项治理工作方案》；</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（17）《河南省环境保护厅关于印发河南省危险废物规范化管理工作指南（试行）的通知》（2013年02月03日）；</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（18）《河南省实施国家“十二五”危险废物污染防治规划工作方案》（豫环文［2012］234号）；</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（19）《河南省环境保护“十三五”规划》（豫政［2011］96号）；</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w:t>
      </w:r>
      <w:r>
        <w:rPr>
          <w:rFonts w:ascii="Times New Roman" w:hAnsi="Times New Roman" w:eastAsia="宋体" w:cs="Times New Roman"/>
          <w:bCs/>
          <w:sz w:val="24"/>
          <w:szCs w:val="24"/>
        </w:rPr>
        <w:t>关于印发濮阳市2018年大气</w:t>
      </w:r>
      <w:r>
        <w:fldChar w:fldCharType="begin"/>
      </w:r>
      <w:r>
        <w:instrText xml:space="preserve"> HYPERLINK "http://huanbao.bjx.com.cn/zt.asp?topic=%ce%db%c8%be%b7%c0%d6%ce%b9%a5%bc%e1%d5%bd" \t "_blank" \o "污染防治攻坚战新闻专题" </w:instrText>
      </w:r>
      <w:r>
        <w:fldChar w:fldCharType="separate"/>
      </w:r>
      <w:r>
        <w:rPr>
          <w:rFonts w:ascii="Times New Roman" w:hAnsi="Times New Roman" w:eastAsia="宋体" w:cs="Times New Roman"/>
          <w:sz w:val="24"/>
          <w:szCs w:val="24"/>
        </w:rPr>
        <w:t>污染防治攻坚战</w:t>
      </w:r>
      <w:r>
        <w:rPr>
          <w:rFonts w:ascii="Times New Roman" w:hAnsi="Times New Roman" w:eastAsia="宋体" w:cs="Times New Roman"/>
          <w:sz w:val="24"/>
          <w:szCs w:val="24"/>
        </w:rPr>
        <w:fldChar w:fldCharType="end"/>
      </w:r>
      <w:r>
        <w:rPr>
          <w:rFonts w:ascii="Times New Roman" w:hAnsi="Times New Roman" w:eastAsia="宋体" w:cs="Times New Roman"/>
          <w:bCs/>
          <w:sz w:val="24"/>
          <w:szCs w:val="24"/>
        </w:rPr>
        <w:t>实施方案的通知</w:t>
      </w:r>
      <w:r>
        <w:rPr>
          <w:rFonts w:ascii="Times New Roman" w:hAnsi="Times New Roman" w:eastAsia="宋体" w:cs="Times New Roman"/>
          <w:sz w:val="24"/>
          <w:szCs w:val="24"/>
        </w:rPr>
        <w:t>》（濮政办〔2018〕8号）；</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（21）《濮阳市城乡总体规划》(2015-2030)；</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（22）《濮阳市经济技术产业集聚区发展规划》（2012-2020）；</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（23）《濮阳市经济技术产业集聚区发展规划（2012-2020）调整方案环境影响报告书》</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（24）《濮阳市环境保护“十三五”规划》；</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（25）《河南省濮阳市城市饮用水水源保护区划分技术报告》及《河南省濮阳市地下饮用水源地调整及保护区划分技术报告》；</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（26）《关于印发涉水工业企业规范化整治管理要求的通知》（豫环攻坚办[2017]92号）；</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（27）《关于建设项目环境影响评价有关事项的通知》（濮环办[2018]27号）。</w:t>
      </w:r>
    </w:p>
    <w:p>
      <w:pPr>
        <w:spacing w:before="80" w:after="80" w:line="520" w:lineRule="exact"/>
        <w:outlineLvl w:val="2"/>
        <w:rPr>
          <w:rFonts w:ascii="Times New Roman" w:hAnsi="Times New Roman" w:eastAsia="楷体" w:cs="Times New Roman"/>
          <w:sz w:val="28"/>
          <w:szCs w:val="28"/>
        </w:rPr>
      </w:pPr>
      <w:bookmarkStart w:id="11" w:name="_Toc512973527"/>
      <w:bookmarkStart w:id="12" w:name="_Toc8391521"/>
      <w:r>
        <w:rPr>
          <w:rFonts w:ascii="Times New Roman" w:hAnsi="Times New Roman" w:eastAsia="楷体" w:cs="Times New Roman"/>
          <w:sz w:val="28"/>
          <w:szCs w:val="28"/>
        </w:rPr>
        <w:t>2.1.3 技术规范</w:t>
      </w:r>
      <w:bookmarkEnd w:id="11"/>
      <w:bookmarkEnd w:id="12"/>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（1）《环境影响评价技术导则</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总纲》(HJ2.1-2016）；</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（2）《环境影响评价技术导则</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地面水环境》(HJ/T2.3-2018）；</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（3）《环境影响评价技术导则</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大气环境》（HJ2.2-2018）；</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（4）《环境影响评价技术导则</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声环境》(HJ2.4-2009）；</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（5）《环境影响评价技术导则</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地下水环境》(HJ610-2016）；</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（6）《环境影响评价技术导则</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生态影响》（HJ19-2011）；</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（7）《建设项目环境风险评价技术导则》（HJ169-2018）；</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（8）《危险化学品重大危险源辨识》（GB18218-2018）；</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（9）《地下水环境监测技术规范》（环保部HJ/T 164-2004）</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（10）《国家危险废物名录》（2016年）；</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（11）《资源综合利用目录（2003年修订）》；</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12</w:t>
      </w:r>
      <w:r>
        <w:rPr>
          <w:rFonts w:ascii="Times New Roman" w:hAnsi="Times New Roman" w:eastAsia="宋体" w:cs="Times New Roman"/>
          <w:sz w:val="24"/>
          <w:szCs w:val="24"/>
        </w:rPr>
        <w:t>）《污染源源强核算技术指南准则</w:t>
      </w:r>
      <w:r>
        <w:rPr>
          <w:rFonts w:hint="eastAsia" w:ascii="Times New Roman" w:hAnsi="Times New Roman" w:eastAsia="宋体" w:cs="Times New Roman"/>
          <w:sz w:val="24"/>
          <w:szCs w:val="24"/>
        </w:rPr>
        <w:t xml:space="preserve">  总纲</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（13</w:t>
      </w:r>
      <w:r>
        <w:rPr>
          <w:rFonts w:ascii="Times New Roman" w:hAnsi="Times New Roman" w:eastAsia="宋体" w:cs="Times New Roman"/>
          <w:sz w:val="24"/>
          <w:szCs w:val="24"/>
        </w:rPr>
        <w:t>）</w:t>
      </w:r>
      <w:r>
        <w:rPr>
          <w:rFonts w:hint="eastAsia" w:ascii="Times New Roman" w:hAnsi="Times New Roman" w:eastAsia="宋体" w:cs="Times New Roman"/>
          <w:sz w:val="24"/>
          <w:szCs w:val="24"/>
        </w:rPr>
        <w:t>《危险废物收集贮存运输技术规范</w:t>
      </w:r>
      <w:r>
        <w:rPr>
          <w:rFonts w:ascii="Times New Roman" w:hAnsi="Times New Roman" w:eastAsia="宋体" w:cs="Times New Roman"/>
          <w:sz w:val="24"/>
          <w:szCs w:val="24"/>
        </w:rPr>
        <w:t>》</w:t>
      </w:r>
      <w:r>
        <w:rPr>
          <w:rFonts w:hint="eastAsia" w:ascii="Times New Roman" w:hAnsi="Times New Roman" w:eastAsia="宋体" w:cs="Times New Roman"/>
          <w:sz w:val="24"/>
          <w:szCs w:val="24"/>
        </w:rPr>
        <w:t>（HJ2025</w:t>
      </w:r>
      <w:r>
        <w:rPr>
          <w:rFonts w:ascii="Times New Roman" w:hAnsi="Times New Roman" w:eastAsia="宋体" w:cs="Times New Roman"/>
          <w:sz w:val="24"/>
          <w:szCs w:val="24"/>
        </w:rPr>
        <w:t>-2012）</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（14）《一般工业固体废弃物贮存、处置场污染控制标准》（（</w:t>
      </w:r>
      <w:r>
        <w:rPr>
          <w:rFonts w:ascii="Times New Roman" w:hAnsi="Times New Roman" w:eastAsia="宋体" w:cs="Times New Roman"/>
          <w:sz w:val="24"/>
          <w:szCs w:val="24"/>
        </w:rPr>
        <w:t>GB18599-2001</w:t>
      </w:r>
      <w:r>
        <w:rPr>
          <w:rFonts w:hint="eastAsia" w:ascii="Times New Roman" w:hAnsi="Times New Roman" w:eastAsia="宋体" w:cs="Times New Roman"/>
          <w:sz w:val="24"/>
          <w:szCs w:val="24"/>
        </w:rPr>
        <w:t>）及修改单（</w:t>
      </w:r>
      <w:r>
        <w:rPr>
          <w:rFonts w:ascii="Times New Roman" w:hAnsi="Times New Roman" w:eastAsia="宋体" w:cs="Times New Roman"/>
          <w:sz w:val="24"/>
          <w:szCs w:val="24"/>
        </w:rPr>
        <w:t>2013</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（15）《危险废物贮存污染控制标准》（（</w:t>
      </w:r>
      <w:r>
        <w:rPr>
          <w:rFonts w:ascii="Times New Roman" w:hAnsi="Times New Roman" w:eastAsia="宋体" w:cs="Times New Roman"/>
          <w:sz w:val="24"/>
          <w:szCs w:val="24"/>
        </w:rPr>
        <w:t>GB18597-2001</w:t>
      </w:r>
      <w:r>
        <w:rPr>
          <w:rFonts w:hint="eastAsia" w:ascii="Times New Roman" w:hAnsi="Times New Roman" w:eastAsia="宋体" w:cs="Times New Roman"/>
          <w:sz w:val="24"/>
          <w:szCs w:val="24"/>
        </w:rPr>
        <w:t>）及修改单（</w:t>
      </w:r>
      <w:r>
        <w:rPr>
          <w:rFonts w:ascii="Times New Roman" w:hAnsi="Times New Roman" w:eastAsia="宋体" w:cs="Times New Roman"/>
          <w:sz w:val="24"/>
          <w:szCs w:val="24"/>
        </w:rPr>
        <w:t>2013</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（16</w:t>
      </w:r>
      <w:r>
        <w:rPr>
          <w:rFonts w:ascii="Times New Roman" w:hAnsi="Times New Roman" w:eastAsia="宋体" w:cs="Times New Roman"/>
          <w:sz w:val="24"/>
          <w:szCs w:val="24"/>
        </w:rPr>
        <w:t>）</w:t>
      </w:r>
      <w:r>
        <w:rPr>
          <w:rFonts w:hint="eastAsia" w:ascii="Times New Roman" w:hAnsi="Times New Roman" w:eastAsia="宋体" w:cs="Times New Roman"/>
          <w:sz w:val="24"/>
          <w:szCs w:val="24"/>
        </w:rPr>
        <w:t>《建设项目危险废物环境影响评价指南》（环境保护部公告2017年第43号</w:t>
      </w:r>
      <w:r>
        <w:rPr>
          <w:rFonts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（17）</w:t>
      </w:r>
      <w:r>
        <w:rPr>
          <w:rFonts w:ascii="Times New Roman" w:hAnsi="Times New Roman" w:eastAsia="宋体" w:cs="Times New Roman"/>
          <w:sz w:val="24"/>
          <w:szCs w:val="24"/>
        </w:rPr>
        <w:t>《危险废物和医疗废物处置设施建设项目环境影响评价技术原则（试行）》（环发［2004］58号）</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（18）《危险废物</w:t>
      </w:r>
      <w:r>
        <w:rPr>
          <w:rFonts w:ascii="Times New Roman" w:hAnsi="Times New Roman" w:eastAsia="宋体" w:cs="Times New Roman"/>
          <w:sz w:val="24"/>
          <w:szCs w:val="24"/>
        </w:rPr>
        <w:t>污染</w:t>
      </w:r>
      <w:r>
        <w:rPr>
          <w:rFonts w:hint="eastAsia" w:ascii="Times New Roman" w:hAnsi="Times New Roman" w:eastAsia="宋体" w:cs="Times New Roman"/>
          <w:sz w:val="24"/>
          <w:szCs w:val="24"/>
        </w:rPr>
        <w:t>防治</w:t>
      </w:r>
      <w:r>
        <w:rPr>
          <w:rFonts w:ascii="Times New Roman" w:hAnsi="Times New Roman" w:eastAsia="宋体" w:cs="Times New Roman"/>
          <w:sz w:val="24"/>
          <w:szCs w:val="24"/>
        </w:rPr>
        <w:t>技术政策</w:t>
      </w:r>
      <w:r>
        <w:rPr>
          <w:rFonts w:hint="eastAsia" w:ascii="Times New Roman" w:hAnsi="Times New Roman" w:eastAsia="宋体" w:cs="Times New Roman"/>
          <w:sz w:val="24"/>
          <w:szCs w:val="24"/>
        </w:rPr>
        <w:t>》（环发</w:t>
      </w:r>
      <w:r>
        <w:rPr>
          <w:rFonts w:ascii="Times New Roman" w:hAnsi="Times New Roman" w:eastAsia="宋体" w:cs="Times New Roman"/>
          <w:sz w:val="24"/>
          <w:szCs w:val="24"/>
        </w:rPr>
        <w:t>［2001］199</w:t>
      </w:r>
      <w:r>
        <w:rPr>
          <w:rFonts w:hint="eastAsia" w:ascii="Times New Roman" w:hAnsi="Times New Roman" w:eastAsia="宋体" w:cs="Times New Roman"/>
          <w:sz w:val="24"/>
          <w:szCs w:val="24"/>
        </w:rPr>
        <w:t>号）；</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（19）</w:t>
      </w:r>
      <w:r>
        <w:rPr>
          <w:rFonts w:ascii="Times New Roman" w:hAnsi="Times New Roman" w:eastAsia="宋体" w:cs="Times New Roman"/>
          <w:sz w:val="24"/>
          <w:szCs w:val="24"/>
        </w:rPr>
        <w:t>《危险废物运输包装通用技术》（GB 12463-2009）</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（20）《危险废物</w:t>
      </w:r>
      <w:r>
        <w:rPr>
          <w:rFonts w:ascii="Times New Roman" w:hAnsi="Times New Roman" w:eastAsia="宋体" w:cs="Times New Roman"/>
          <w:sz w:val="24"/>
          <w:szCs w:val="24"/>
        </w:rPr>
        <w:t>鉴别</w:t>
      </w:r>
      <w:r>
        <w:rPr>
          <w:rFonts w:hint="eastAsia" w:ascii="Times New Roman" w:hAnsi="Times New Roman" w:eastAsia="宋体" w:cs="Times New Roman"/>
          <w:sz w:val="24"/>
          <w:szCs w:val="24"/>
        </w:rPr>
        <w:t>技术规范》（HJ/T298-2007）；</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（21）《危险废物鉴别标准通则》（GB5085.7-2007）；</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（22）《危险废物鉴别标准》（GB5085.1~6-2007）；</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（23）《危险废物处置工程技术导则》（HJ2042-2014）。</w:t>
      </w:r>
    </w:p>
    <w:p>
      <w:pPr>
        <w:spacing w:before="80" w:after="80" w:line="520" w:lineRule="exact"/>
        <w:outlineLvl w:val="2"/>
        <w:rPr>
          <w:rFonts w:ascii="Times New Roman" w:hAnsi="Times New Roman" w:eastAsia="楷体" w:cs="Times New Roman"/>
          <w:sz w:val="28"/>
          <w:szCs w:val="28"/>
        </w:rPr>
      </w:pPr>
      <w:bookmarkStart w:id="13" w:name="_Toc8391522"/>
      <w:r>
        <w:rPr>
          <w:rFonts w:hint="eastAsia" w:ascii="Times New Roman" w:hAnsi="Times New Roman" w:eastAsia="楷体" w:cs="Times New Roman"/>
          <w:sz w:val="28"/>
          <w:szCs w:val="28"/>
        </w:rPr>
        <w:t>2.1.4 项目技术资料</w:t>
      </w:r>
      <w:bookmarkEnd w:id="13"/>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）河南科瑞斯环保科技有限公司10万吨/年废矿物油综合利用项目</w:t>
      </w:r>
      <w:r>
        <w:rPr>
          <w:rFonts w:hint="eastAsia" w:ascii="Times New Roman" w:hAnsi="Times New Roman" w:eastAsia="宋体" w:cs="Times New Roman"/>
          <w:sz w:val="24"/>
          <w:szCs w:val="24"/>
        </w:rPr>
        <w:t>环境影响变更分析报告委托书（附件1</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河南科瑞斯环保科技有限公司10万吨/年废矿物油综合利用项目</w:t>
      </w:r>
      <w:r>
        <w:rPr>
          <w:rFonts w:hint="eastAsia" w:ascii="Times New Roman" w:hAnsi="Times New Roman" w:eastAsia="宋体" w:cs="Times New Roman"/>
          <w:sz w:val="24"/>
          <w:szCs w:val="24"/>
        </w:rPr>
        <w:t>环境影响报告书》（江苏润环环境科技有限公司，2018年5月</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《关于</w:t>
      </w:r>
      <w:r>
        <w:rPr>
          <w:rFonts w:ascii="Times New Roman" w:hAnsi="Times New Roman" w:eastAsia="宋体" w:cs="Times New Roman"/>
          <w:sz w:val="24"/>
          <w:szCs w:val="24"/>
        </w:rPr>
        <w:t>河南科瑞斯环保科技有限公司10万吨/年废矿物油综合利用项目</w:t>
      </w:r>
      <w:r>
        <w:rPr>
          <w:rFonts w:hint="eastAsia" w:ascii="Times New Roman" w:hAnsi="Times New Roman" w:eastAsia="宋体" w:cs="Times New Roman"/>
          <w:sz w:val="24"/>
          <w:szCs w:val="24"/>
        </w:rPr>
        <w:t>环境影响评价报告书的批复》（濮开环审[</w:t>
      </w:r>
      <w:r>
        <w:rPr>
          <w:rFonts w:ascii="Times New Roman" w:hAnsi="Times New Roman" w:eastAsia="宋体" w:cs="Times New Roman"/>
          <w:sz w:val="24"/>
          <w:szCs w:val="24"/>
        </w:rPr>
        <w:t>2018</w:t>
      </w:r>
      <w:r>
        <w:rPr>
          <w:rFonts w:hint="eastAsia" w:ascii="Times New Roman" w:hAnsi="Times New Roman" w:eastAsia="宋体" w:cs="Times New Roman"/>
          <w:sz w:val="24"/>
          <w:szCs w:val="24"/>
        </w:rPr>
        <w:t>]</w:t>
      </w:r>
      <w:r>
        <w:rPr>
          <w:rFonts w:ascii="Times New Roman" w:hAnsi="Times New Roman" w:eastAsia="宋体" w:cs="Times New Roman"/>
          <w:sz w:val="24"/>
          <w:szCs w:val="24"/>
        </w:rPr>
        <w:t>14</w:t>
      </w:r>
      <w:r>
        <w:rPr>
          <w:rFonts w:hint="eastAsia" w:ascii="Times New Roman" w:hAnsi="Times New Roman" w:eastAsia="宋体" w:cs="Times New Roman"/>
          <w:sz w:val="24"/>
          <w:szCs w:val="24"/>
        </w:rPr>
        <w:t>号</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w:t>
      </w:r>
      <w:r>
        <w:rPr>
          <w:rFonts w:hint="eastAsia" w:ascii="Times New Roman" w:hAnsi="Times New Roman" w:eastAsia="宋体" w:cs="Times New Roman"/>
          <w:sz w:val="24"/>
          <w:szCs w:val="24"/>
        </w:rPr>
        <w:t>建设单位提供的</w:t>
      </w:r>
      <w:r>
        <w:rPr>
          <w:rFonts w:ascii="Times New Roman" w:hAnsi="Times New Roman" w:eastAsia="宋体" w:cs="Times New Roman"/>
          <w:sz w:val="24"/>
          <w:szCs w:val="24"/>
        </w:rPr>
        <w:t>其他与本项目有关的技术资料。</w:t>
      </w:r>
    </w:p>
    <w:p>
      <w:pPr>
        <w:pStyle w:val="39"/>
        <w:rPr>
          <w:color w:val="auto"/>
        </w:rPr>
      </w:pPr>
      <w:bookmarkStart w:id="14" w:name="_Toc8391523"/>
      <w:r>
        <w:rPr>
          <w:rFonts w:hint="eastAsia"/>
          <w:color w:val="auto"/>
        </w:rPr>
        <w:t>2.2 评价标准</w:t>
      </w:r>
      <w:bookmarkEnd w:id="14"/>
    </w:p>
    <w:p>
      <w:pPr>
        <w:spacing w:before="80" w:after="80" w:line="520" w:lineRule="exact"/>
        <w:outlineLvl w:val="2"/>
        <w:rPr>
          <w:rFonts w:ascii="Times New Roman" w:hAnsi="Times New Roman" w:eastAsia="楷体" w:cs="Times New Roman"/>
          <w:sz w:val="28"/>
          <w:szCs w:val="28"/>
        </w:rPr>
      </w:pPr>
      <w:bookmarkStart w:id="15" w:name="_Toc8391524"/>
      <w:r>
        <w:rPr>
          <w:rFonts w:hint="eastAsia" w:ascii="Times New Roman" w:hAnsi="Times New Roman" w:eastAsia="楷体" w:cs="Times New Roman"/>
          <w:sz w:val="28"/>
          <w:szCs w:val="28"/>
        </w:rPr>
        <w:t>2.2.1 环境质量标准</w:t>
      </w:r>
      <w:bookmarkEnd w:id="15"/>
    </w:p>
    <w:p>
      <w:pPr>
        <w:pStyle w:val="33"/>
        <w:rPr>
          <w:color w:val="auto"/>
        </w:rPr>
      </w:pPr>
      <w:r>
        <w:rPr>
          <w:rFonts w:hint="eastAsia"/>
          <w:color w:val="auto"/>
        </w:rPr>
        <w:t>2.2.1.1</w:t>
      </w:r>
      <w:r>
        <w:rPr>
          <w:color w:val="auto"/>
        </w:rPr>
        <w:t xml:space="preserve"> </w:t>
      </w:r>
      <w:r>
        <w:rPr>
          <w:rFonts w:hint="eastAsia"/>
          <w:color w:val="auto"/>
        </w:rPr>
        <w:t>环境空气</w:t>
      </w:r>
    </w:p>
    <w:p>
      <w:pPr>
        <w:spacing w:line="480" w:lineRule="exact"/>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本项目变更前后环境空气质量标准与原环评一致。</w:t>
      </w:r>
      <w:r>
        <w:rPr>
          <w:rFonts w:hint="eastAsia" w:ascii="Times New Roman" w:hAnsi="Times New Roman" w:eastAsia="宋体" w:cs="Times New Roman"/>
          <w:sz w:val="24"/>
          <w:szCs w:val="24"/>
        </w:rPr>
        <w:t>项目位于二类环境空气功能区，TSP、PM</w:t>
      </w:r>
      <w:r>
        <w:rPr>
          <w:rFonts w:hint="eastAsia" w:ascii="Times New Roman" w:hAnsi="Times New Roman" w:eastAsia="宋体" w:cs="Times New Roman"/>
          <w:sz w:val="24"/>
          <w:szCs w:val="24"/>
          <w:vertAlign w:val="subscript"/>
        </w:rPr>
        <w:t>10</w:t>
      </w:r>
      <w:r>
        <w:rPr>
          <w:rFonts w:hint="eastAsia" w:ascii="Times New Roman" w:hAnsi="Times New Roman" w:eastAsia="宋体" w:cs="Times New Roman"/>
          <w:sz w:val="24"/>
          <w:szCs w:val="24"/>
        </w:rPr>
        <w:t>、SO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、NO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执行</w:t>
      </w:r>
      <w:r>
        <w:rPr>
          <w:rFonts w:ascii="Times New Roman" w:hAnsi="Times New Roman" w:eastAsia="宋体" w:cs="Times New Roman"/>
          <w:sz w:val="24"/>
          <w:szCs w:val="24"/>
        </w:rPr>
        <w:t>《环境空气质量标准》（GB3095-2012）</w:t>
      </w:r>
      <w:r>
        <w:rPr>
          <w:rFonts w:hint="eastAsia" w:ascii="Times New Roman" w:hAnsi="Times New Roman" w:eastAsia="宋体" w:cs="Times New Roman"/>
          <w:sz w:val="24"/>
          <w:szCs w:val="24"/>
        </w:rPr>
        <w:t>中的</w:t>
      </w:r>
      <w:r>
        <w:rPr>
          <w:rFonts w:ascii="Times New Roman" w:hAnsi="Times New Roman" w:eastAsia="宋体" w:cs="Times New Roman"/>
          <w:sz w:val="24"/>
          <w:szCs w:val="24"/>
        </w:rPr>
        <w:t>二级</w:t>
      </w:r>
      <w:r>
        <w:rPr>
          <w:rFonts w:hint="eastAsia" w:ascii="Times New Roman" w:hAnsi="Times New Roman" w:eastAsia="宋体" w:cs="Times New Roman"/>
          <w:sz w:val="24"/>
          <w:szCs w:val="24"/>
        </w:rPr>
        <w:t>标准。</w:t>
      </w:r>
      <w:r>
        <w:rPr>
          <w:rFonts w:ascii="Times New Roman" w:hAnsi="Times New Roman" w:eastAsia="宋体" w:cs="Times New Roman"/>
          <w:sz w:val="24"/>
          <w:szCs w:val="24"/>
        </w:rPr>
        <w:t>非甲烷总烃</w:t>
      </w:r>
      <w:r>
        <w:rPr>
          <w:rFonts w:hint="eastAsia" w:ascii="Times New Roman" w:hAnsi="Times New Roman" w:eastAsia="宋体" w:cs="Times New Roman"/>
          <w:sz w:val="24"/>
          <w:szCs w:val="24"/>
        </w:rPr>
        <w:t>参照执行</w:t>
      </w:r>
      <w:r>
        <w:rPr>
          <w:rFonts w:ascii="Times New Roman" w:hAnsi="Times New Roman" w:eastAsia="宋体" w:cs="Times New Roman"/>
          <w:sz w:val="24"/>
          <w:szCs w:val="24"/>
        </w:rPr>
        <w:t>《大气污染物综合排放标准》（GB8978-1996）详解</w:t>
      </w:r>
      <w:r>
        <w:rPr>
          <w:rFonts w:hint="eastAsia" w:ascii="Times New Roman" w:hAnsi="Times New Roman" w:eastAsia="宋体" w:cs="Times New Roman"/>
          <w:sz w:val="24"/>
          <w:szCs w:val="24"/>
        </w:rPr>
        <w:t>中的标准限值，NH</w:t>
      </w:r>
      <w:r>
        <w:rPr>
          <w:rFonts w:hint="eastAsia" w:ascii="Times New Roman" w:hAnsi="Times New Roman" w:eastAsia="宋体" w:cs="Times New Roman"/>
          <w:sz w:val="24"/>
          <w:szCs w:val="24"/>
          <w:vertAlign w:val="subscript"/>
        </w:rPr>
        <w:t>3</w:t>
      </w:r>
      <w:r>
        <w:rPr>
          <w:rFonts w:hint="eastAsia" w:ascii="Times New Roman" w:hAnsi="Times New Roman" w:eastAsia="宋体" w:cs="Times New Roman"/>
          <w:sz w:val="24"/>
          <w:szCs w:val="24"/>
        </w:rPr>
        <w:t>和H</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S执行</w:t>
      </w:r>
      <w:r>
        <w:rPr>
          <w:rFonts w:ascii="Times New Roman" w:hAnsi="Times New Roman" w:eastAsia="宋体" w:cs="Times New Roman"/>
          <w:sz w:val="24"/>
          <w:szCs w:val="24"/>
        </w:rPr>
        <w:t>《工业企业设计卫生标准》（TJ36-79）</w:t>
      </w:r>
      <w:r>
        <w:rPr>
          <w:rFonts w:hint="eastAsia" w:ascii="Times New Roman" w:hAnsi="Times New Roman" w:eastAsia="宋体" w:cs="Times New Roman"/>
          <w:sz w:val="24"/>
          <w:szCs w:val="24"/>
        </w:rPr>
        <w:t>。</w:t>
      </w:r>
      <w:r>
        <w:rPr>
          <w:rFonts w:ascii="Times New Roman" w:hAnsi="Times New Roman" w:eastAsia="宋体" w:cs="Times New Roman"/>
          <w:sz w:val="24"/>
          <w:szCs w:val="24"/>
        </w:rPr>
        <w:t>具体</w:t>
      </w:r>
      <w:r>
        <w:rPr>
          <w:rFonts w:hint="eastAsia" w:ascii="Times New Roman" w:hAnsi="Times New Roman" w:eastAsia="宋体" w:cs="Times New Roman"/>
          <w:sz w:val="24"/>
          <w:szCs w:val="24"/>
        </w:rPr>
        <w:t>标准见下表。</w:t>
      </w:r>
    </w:p>
    <w:p>
      <w:pPr>
        <w:spacing w:line="480" w:lineRule="exact"/>
        <w:ind w:firstLine="480" w:firstLineChars="200"/>
        <w:rPr>
          <w:rFonts w:ascii="Times New Roman" w:hAnsi="Times New Roman" w:eastAsia="黑体" w:cs="Times New Roman"/>
          <w:sz w:val="24"/>
        </w:rPr>
      </w:pPr>
      <w:r>
        <w:rPr>
          <w:rFonts w:ascii="Times New Roman" w:hAnsi="Times New Roman" w:eastAsia="黑体" w:cs="Times New Roman"/>
          <w:sz w:val="24"/>
        </w:rPr>
        <w:t>表2.2-1             环境空气质量标准一览表</w:t>
      </w:r>
    </w:p>
    <w:tbl>
      <w:tblPr>
        <w:tblStyle w:val="1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87"/>
        <w:gridCol w:w="3544"/>
        <w:gridCol w:w="1276"/>
        <w:gridCol w:w="12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3" w:hRule="atLeast"/>
          <w:jc w:val="center"/>
        </w:trPr>
        <w:tc>
          <w:tcPr>
            <w:tcW w:w="98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环境要素</w:t>
            </w:r>
          </w:p>
        </w:tc>
        <w:tc>
          <w:tcPr>
            <w:tcW w:w="35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标准名称及级（类）别</w:t>
            </w:r>
          </w:p>
        </w:tc>
        <w:tc>
          <w:tcPr>
            <w:tcW w:w="127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评价因子</w:t>
            </w:r>
          </w:p>
        </w:tc>
        <w:tc>
          <w:tcPr>
            <w:tcW w:w="2489" w:type="dxa"/>
            <w:gridSpan w:val="2"/>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3" w:hRule="atLeast"/>
          <w:jc w:val="center"/>
        </w:trPr>
        <w:tc>
          <w:tcPr>
            <w:tcW w:w="987"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环</w:t>
            </w:r>
          </w:p>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境</w:t>
            </w:r>
          </w:p>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空</w:t>
            </w:r>
          </w:p>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气</w:t>
            </w:r>
          </w:p>
        </w:tc>
        <w:tc>
          <w:tcPr>
            <w:tcW w:w="3544"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《环境空气质量标准》（GB3095-2012）二级</w:t>
            </w:r>
          </w:p>
        </w:tc>
        <w:tc>
          <w:tcPr>
            <w:tcW w:w="1276"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kern w:val="0"/>
                <w:szCs w:val="21"/>
              </w:rPr>
              <w:t>PM</w:t>
            </w:r>
            <w:r>
              <w:rPr>
                <w:rFonts w:ascii="Times New Roman" w:hAnsi="Times New Roman" w:eastAsia="宋体" w:cs="Times New Roman"/>
                <w:kern w:val="0"/>
                <w:szCs w:val="21"/>
                <w:vertAlign w:val="subscript"/>
              </w:rPr>
              <w:t>10</w:t>
            </w:r>
          </w:p>
        </w:tc>
        <w:tc>
          <w:tcPr>
            <w:tcW w:w="127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年平均</w:t>
            </w:r>
          </w:p>
        </w:tc>
        <w:tc>
          <w:tcPr>
            <w:tcW w:w="121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70μg/m</w:t>
            </w:r>
            <w:r>
              <w:rPr>
                <w:rFonts w:ascii="Times New Roman" w:hAnsi="Times New Roman" w:eastAsia="宋体"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3" w:hRule="atLeast"/>
          <w:jc w:val="center"/>
        </w:trPr>
        <w:tc>
          <w:tcPr>
            <w:tcW w:w="987" w:type="dxa"/>
            <w:vMerge w:val="continue"/>
            <w:vAlign w:val="center"/>
          </w:tcPr>
          <w:p>
            <w:pPr>
              <w:spacing w:line="240" w:lineRule="exact"/>
              <w:jc w:val="center"/>
              <w:rPr>
                <w:rFonts w:ascii="Times New Roman" w:hAnsi="Times New Roman" w:eastAsia="宋体" w:cs="Times New Roman"/>
                <w:szCs w:val="21"/>
              </w:rPr>
            </w:pPr>
          </w:p>
        </w:tc>
        <w:tc>
          <w:tcPr>
            <w:tcW w:w="3544" w:type="dxa"/>
            <w:vMerge w:val="continue"/>
            <w:vAlign w:val="center"/>
          </w:tcPr>
          <w:p>
            <w:pPr>
              <w:spacing w:line="240" w:lineRule="exact"/>
              <w:jc w:val="center"/>
              <w:rPr>
                <w:rFonts w:ascii="Times New Roman" w:hAnsi="Times New Roman" w:eastAsia="宋体" w:cs="Times New Roman"/>
                <w:szCs w:val="21"/>
              </w:rPr>
            </w:pPr>
          </w:p>
        </w:tc>
        <w:tc>
          <w:tcPr>
            <w:tcW w:w="1276" w:type="dxa"/>
            <w:vMerge w:val="continue"/>
            <w:vAlign w:val="center"/>
          </w:tcPr>
          <w:p>
            <w:pPr>
              <w:spacing w:line="240" w:lineRule="exact"/>
              <w:jc w:val="center"/>
              <w:rPr>
                <w:rFonts w:ascii="Times New Roman" w:hAnsi="Times New Roman" w:eastAsia="宋体" w:cs="Times New Roman"/>
                <w:szCs w:val="21"/>
              </w:rPr>
            </w:pPr>
          </w:p>
        </w:tc>
        <w:tc>
          <w:tcPr>
            <w:tcW w:w="127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日平均</w:t>
            </w:r>
          </w:p>
        </w:tc>
        <w:tc>
          <w:tcPr>
            <w:tcW w:w="121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150μg/m</w:t>
            </w:r>
            <w:r>
              <w:rPr>
                <w:rFonts w:ascii="Times New Roman" w:hAnsi="Times New Roman" w:eastAsia="宋体"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3" w:hRule="atLeast"/>
          <w:jc w:val="center"/>
        </w:trPr>
        <w:tc>
          <w:tcPr>
            <w:tcW w:w="987" w:type="dxa"/>
            <w:vMerge w:val="continue"/>
            <w:vAlign w:val="center"/>
          </w:tcPr>
          <w:p>
            <w:pPr>
              <w:spacing w:line="240" w:lineRule="exact"/>
              <w:jc w:val="center"/>
              <w:rPr>
                <w:rFonts w:ascii="Times New Roman" w:hAnsi="Times New Roman" w:eastAsia="宋体" w:cs="Times New Roman"/>
                <w:szCs w:val="21"/>
              </w:rPr>
            </w:pPr>
          </w:p>
        </w:tc>
        <w:tc>
          <w:tcPr>
            <w:tcW w:w="3544" w:type="dxa"/>
            <w:vMerge w:val="continue"/>
            <w:vAlign w:val="center"/>
          </w:tcPr>
          <w:p>
            <w:pPr>
              <w:spacing w:line="240" w:lineRule="exact"/>
              <w:jc w:val="center"/>
              <w:rPr>
                <w:rFonts w:ascii="Times New Roman" w:hAnsi="Times New Roman" w:eastAsia="宋体" w:cs="Times New Roman"/>
                <w:szCs w:val="21"/>
              </w:rPr>
            </w:pPr>
          </w:p>
        </w:tc>
        <w:tc>
          <w:tcPr>
            <w:tcW w:w="1276"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TSP</w:t>
            </w:r>
          </w:p>
        </w:tc>
        <w:tc>
          <w:tcPr>
            <w:tcW w:w="127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年平均</w:t>
            </w:r>
          </w:p>
        </w:tc>
        <w:tc>
          <w:tcPr>
            <w:tcW w:w="121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200μg/m</w:t>
            </w:r>
            <w:r>
              <w:rPr>
                <w:rFonts w:ascii="Times New Roman" w:hAnsi="Times New Roman" w:eastAsia="宋体"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3" w:hRule="atLeast"/>
          <w:jc w:val="center"/>
        </w:trPr>
        <w:tc>
          <w:tcPr>
            <w:tcW w:w="987" w:type="dxa"/>
            <w:vMerge w:val="continue"/>
            <w:vAlign w:val="center"/>
          </w:tcPr>
          <w:p>
            <w:pPr>
              <w:spacing w:line="240" w:lineRule="exact"/>
              <w:jc w:val="center"/>
              <w:rPr>
                <w:rFonts w:ascii="Times New Roman" w:hAnsi="Times New Roman" w:eastAsia="宋体" w:cs="Times New Roman"/>
                <w:szCs w:val="21"/>
              </w:rPr>
            </w:pPr>
          </w:p>
        </w:tc>
        <w:tc>
          <w:tcPr>
            <w:tcW w:w="3544" w:type="dxa"/>
            <w:vMerge w:val="continue"/>
            <w:vAlign w:val="center"/>
          </w:tcPr>
          <w:p>
            <w:pPr>
              <w:spacing w:line="240" w:lineRule="exact"/>
              <w:jc w:val="center"/>
              <w:rPr>
                <w:rFonts w:ascii="Times New Roman" w:hAnsi="Times New Roman" w:eastAsia="宋体" w:cs="Times New Roman"/>
                <w:szCs w:val="21"/>
              </w:rPr>
            </w:pPr>
          </w:p>
        </w:tc>
        <w:tc>
          <w:tcPr>
            <w:tcW w:w="1276" w:type="dxa"/>
            <w:vMerge w:val="continue"/>
            <w:vAlign w:val="center"/>
          </w:tcPr>
          <w:p>
            <w:pPr>
              <w:spacing w:line="240" w:lineRule="exact"/>
              <w:jc w:val="center"/>
              <w:rPr>
                <w:rFonts w:ascii="Times New Roman" w:hAnsi="Times New Roman" w:eastAsia="宋体" w:cs="Times New Roman"/>
                <w:szCs w:val="21"/>
              </w:rPr>
            </w:pPr>
          </w:p>
        </w:tc>
        <w:tc>
          <w:tcPr>
            <w:tcW w:w="127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日平均</w:t>
            </w:r>
          </w:p>
        </w:tc>
        <w:tc>
          <w:tcPr>
            <w:tcW w:w="121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300μg/m</w:t>
            </w:r>
            <w:r>
              <w:rPr>
                <w:rFonts w:ascii="Times New Roman" w:hAnsi="Times New Roman" w:eastAsia="宋体"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3" w:hRule="atLeast"/>
          <w:jc w:val="center"/>
        </w:trPr>
        <w:tc>
          <w:tcPr>
            <w:tcW w:w="987" w:type="dxa"/>
            <w:vMerge w:val="continue"/>
            <w:vAlign w:val="center"/>
          </w:tcPr>
          <w:p>
            <w:pPr>
              <w:spacing w:line="240" w:lineRule="exact"/>
              <w:jc w:val="center"/>
              <w:rPr>
                <w:rFonts w:ascii="Times New Roman" w:hAnsi="Times New Roman" w:eastAsia="宋体" w:cs="Times New Roman"/>
                <w:szCs w:val="21"/>
              </w:rPr>
            </w:pPr>
          </w:p>
        </w:tc>
        <w:tc>
          <w:tcPr>
            <w:tcW w:w="3544" w:type="dxa"/>
            <w:vMerge w:val="continue"/>
            <w:vAlign w:val="center"/>
          </w:tcPr>
          <w:p>
            <w:pPr>
              <w:spacing w:line="240" w:lineRule="exact"/>
              <w:jc w:val="center"/>
              <w:rPr>
                <w:rFonts w:ascii="Times New Roman" w:hAnsi="Times New Roman" w:eastAsia="宋体" w:cs="Times New Roman"/>
                <w:szCs w:val="21"/>
              </w:rPr>
            </w:pPr>
          </w:p>
        </w:tc>
        <w:tc>
          <w:tcPr>
            <w:tcW w:w="1276"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SO</w:t>
            </w:r>
            <w:r>
              <w:rPr>
                <w:rFonts w:ascii="Times New Roman" w:hAnsi="Times New Roman" w:eastAsia="宋体" w:cs="Times New Roman"/>
                <w:szCs w:val="21"/>
                <w:vertAlign w:val="subscript"/>
              </w:rPr>
              <w:t>2</w:t>
            </w:r>
          </w:p>
        </w:tc>
        <w:tc>
          <w:tcPr>
            <w:tcW w:w="127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年平均</w:t>
            </w:r>
          </w:p>
        </w:tc>
        <w:tc>
          <w:tcPr>
            <w:tcW w:w="121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60μg/m</w:t>
            </w:r>
            <w:r>
              <w:rPr>
                <w:rFonts w:ascii="Times New Roman" w:hAnsi="Times New Roman" w:eastAsia="宋体"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3" w:hRule="atLeast"/>
          <w:jc w:val="center"/>
        </w:trPr>
        <w:tc>
          <w:tcPr>
            <w:tcW w:w="987" w:type="dxa"/>
            <w:vMerge w:val="continue"/>
            <w:vAlign w:val="center"/>
          </w:tcPr>
          <w:p>
            <w:pPr>
              <w:spacing w:line="240" w:lineRule="exact"/>
              <w:jc w:val="center"/>
              <w:rPr>
                <w:rFonts w:ascii="Times New Roman" w:hAnsi="Times New Roman" w:eastAsia="宋体" w:cs="Times New Roman"/>
                <w:szCs w:val="21"/>
              </w:rPr>
            </w:pPr>
          </w:p>
        </w:tc>
        <w:tc>
          <w:tcPr>
            <w:tcW w:w="3544" w:type="dxa"/>
            <w:vMerge w:val="continue"/>
            <w:vAlign w:val="center"/>
          </w:tcPr>
          <w:p>
            <w:pPr>
              <w:spacing w:line="240" w:lineRule="exact"/>
              <w:jc w:val="center"/>
              <w:rPr>
                <w:rFonts w:ascii="Times New Roman" w:hAnsi="Times New Roman" w:eastAsia="宋体" w:cs="Times New Roman"/>
                <w:szCs w:val="21"/>
              </w:rPr>
            </w:pPr>
          </w:p>
        </w:tc>
        <w:tc>
          <w:tcPr>
            <w:tcW w:w="1276" w:type="dxa"/>
            <w:vMerge w:val="continue"/>
            <w:vAlign w:val="center"/>
          </w:tcPr>
          <w:p>
            <w:pPr>
              <w:spacing w:line="240" w:lineRule="exact"/>
              <w:jc w:val="center"/>
              <w:rPr>
                <w:rFonts w:ascii="Times New Roman" w:hAnsi="Times New Roman" w:eastAsia="宋体" w:cs="Times New Roman"/>
                <w:szCs w:val="21"/>
              </w:rPr>
            </w:pPr>
          </w:p>
        </w:tc>
        <w:tc>
          <w:tcPr>
            <w:tcW w:w="127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日平均</w:t>
            </w:r>
          </w:p>
        </w:tc>
        <w:tc>
          <w:tcPr>
            <w:tcW w:w="121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150μg/m</w:t>
            </w:r>
            <w:r>
              <w:rPr>
                <w:rFonts w:ascii="Times New Roman" w:hAnsi="Times New Roman" w:eastAsia="宋体"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3" w:hRule="atLeast"/>
          <w:jc w:val="center"/>
        </w:trPr>
        <w:tc>
          <w:tcPr>
            <w:tcW w:w="987" w:type="dxa"/>
            <w:vMerge w:val="continue"/>
            <w:vAlign w:val="center"/>
          </w:tcPr>
          <w:p>
            <w:pPr>
              <w:spacing w:line="240" w:lineRule="exact"/>
              <w:jc w:val="center"/>
              <w:rPr>
                <w:rFonts w:ascii="Times New Roman" w:hAnsi="Times New Roman" w:eastAsia="宋体" w:cs="Times New Roman"/>
                <w:szCs w:val="21"/>
              </w:rPr>
            </w:pPr>
          </w:p>
        </w:tc>
        <w:tc>
          <w:tcPr>
            <w:tcW w:w="3544" w:type="dxa"/>
            <w:vMerge w:val="continue"/>
            <w:vAlign w:val="center"/>
          </w:tcPr>
          <w:p>
            <w:pPr>
              <w:spacing w:line="240" w:lineRule="exact"/>
              <w:jc w:val="center"/>
              <w:rPr>
                <w:rFonts w:ascii="Times New Roman" w:hAnsi="Times New Roman" w:eastAsia="宋体" w:cs="Times New Roman"/>
                <w:szCs w:val="21"/>
              </w:rPr>
            </w:pPr>
          </w:p>
        </w:tc>
        <w:tc>
          <w:tcPr>
            <w:tcW w:w="1276" w:type="dxa"/>
            <w:vMerge w:val="continue"/>
            <w:vAlign w:val="center"/>
          </w:tcPr>
          <w:p>
            <w:pPr>
              <w:spacing w:line="240" w:lineRule="exact"/>
              <w:jc w:val="center"/>
              <w:rPr>
                <w:rFonts w:ascii="Times New Roman" w:hAnsi="Times New Roman" w:eastAsia="宋体" w:cs="Times New Roman"/>
                <w:szCs w:val="21"/>
              </w:rPr>
            </w:pPr>
          </w:p>
        </w:tc>
        <w:tc>
          <w:tcPr>
            <w:tcW w:w="127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1小时平均</w:t>
            </w:r>
          </w:p>
        </w:tc>
        <w:tc>
          <w:tcPr>
            <w:tcW w:w="121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500μg/m</w:t>
            </w:r>
            <w:r>
              <w:rPr>
                <w:rFonts w:ascii="Times New Roman" w:hAnsi="Times New Roman" w:eastAsia="宋体"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3" w:hRule="atLeast"/>
          <w:jc w:val="center"/>
        </w:trPr>
        <w:tc>
          <w:tcPr>
            <w:tcW w:w="987" w:type="dxa"/>
            <w:vMerge w:val="continue"/>
            <w:vAlign w:val="center"/>
          </w:tcPr>
          <w:p>
            <w:pPr>
              <w:spacing w:line="240" w:lineRule="exact"/>
              <w:jc w:val="center"/>
              <w:rPr>
                <w:rFonts w:ascii="Times New Roman" w:hAnsi="Times New Roman" w:eastAsia="宋体" w:cs="Times New Roman"/>
                <w:szCs w:val="21"/>
              </w:rPr>
            </w:pPr>
          </w:p>
        </w:tc>
        <w:tc>
          <w:tcPr>
            <w:tcW w:w="3544" w:type="dxa"/>
            <w:vMerge w:val="continue"/>
            <w:vAlign w:val="center"/>
          </w:tcPr>
          <w:p>
            <w:pPr>
              <w:spacing w:line="240" w:lineRule="exact"/>
              <w:jc w:val="center"/>
              <w:rPr>
                <w:rFonts w:ascii="Times New Roman" w:hAnsi="Times New Roman" w:eastAsia="宋体" w:cs="Times New Roman"/>
                <w:szCs w:val="21"/>
              </w:rPr>
            </w:pPr>
          </w:p>
        </w:tc>
        <w:tc>
          <w:tcPr>
            <w:tcW w:w="1276"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NO</w:t>
            </w:r>
            <w:r>
              <w:rPr>
                <w:rFonts w:ascii="Times New Roman" w:hAnsi="Times New Roman" w:eastAsia="宋体" w:cs="Times New Roman"/>
                <w:szCs w:val="21"/>
                <w:vertAlign w:val="subscript"/>
              </w:rPr>
              <w:t>2</w:t>
            </w:r>
          </w:p>
        </w:tc>
        <w:tc>
          <w:tcPr>
            <w:tcW w:w="127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年平均</w:t>
            </w:r>
          </w:p>
        </w:tc>
        <w:tc>
          <w:tcPr>
            <w:tcW w:w="121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40μg/m</w:t>
            </w:r>
            <w:r>
              <w:rPr>
                <w:rFonts w:ascii="Times New Roman" w:hAnsi="Times New Roman" w:eastAsia="宋体"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3" w:hRule="atLeast"/>
          <w:jc w:val="center"/>
        </w:trPr>
        <w:tc>
          <w:tcPr>
            <w:tcW w:w="987" w:type="dxa"/>
            <w:vMerge w:val="continue"/>
            <w:vAlign w:val="center"/>
          </w:tcPr>
          <w:p>
            <w:pPr>
              <w:spacing w:line="240" w:lineRule="exact"/>
              <w:jc w:val="center"/>
              <w:rPr>
                <w:rFonts w:ascii="Times New Roman" w:hAnsi="Times New Roman" w:eastAsia="宋体" w:cs="Times New Roman"/>
                <w:szCs w:val="21"/>
              </w:rPr>
            </w:pPr>
          </w:p>
        </w:tc>
        <w:tc>
          <w:tcPr>
            <w:tcW w:w="3544" w:type="dxa"/>
            <w:vMerge w:val="continue"/>
            <w:vAlign w:val="center"/>
          </w:tcPr>
          <w:p>
            <w:pPr>
              <w:spacing w:line="240" w:lineRule="exact"/>
              <w:jc w:val="center"/>
              <w:rPr>
                <w:rFonts w:ascii="Times New Roman" w:hAnsi="Times New Roman" w:eastAsia="宋体" w:cs="Times New Roman"/>
                <w:szCs w:val="21"/>
              </w:rPr>
            </w:pPr>
          </w:p>
        </w:tc>
        <w:tc>
          <w:tcPr>
            <w:tcW w:w="1276" w:type="dxa"/>
            <w:vMerge w:val="continue"/>
            <w:vAlign w:val="center"/>
          </w:tcPr>
          <w:p>
            <w:pPr>
              <w:spacing w:line="240" w:lineRule="exact"/>
              <w:jc w:val="center"/>
              <w:rPr>
                <w:rFonts w:ascii="Times New Roman" w:hAnsi="Times New Roman" w:eastAsia="宋体" w:cs="Times New Roman"/>
                <w:szCs w:val="21"/>
              </w:rPr>
            </w:pPr>
          </w:p>
        </w:tc>
        <w:tc>
          <w:tcPr>
            <w:tcW w:w="127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日平均</w:t>
            </w:r>
          </w:p>
        </w:tc>
        <w:tc>
          <w:tcPr>
            <w:tcW w:w="121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80μg/m</w:t>
            </w:r>
            <w:r>
              <w:rPr>
                <w:rFonts w:ascii="Times New Roman" w:hAnsi="Times New Roman" w:eastAsia="宋体"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3" w:hRule="atLeast"/>
          <w:jc w:val="center"/>
        </w:trPr>
        <w:tc>
          <w:tcPr>
            <w:tcW w:w="987" w:type="dxa"/>
            <w:vMerge w:val="continue"/>
            <w:vAlign w:val="center"/>
          </w:tcPr>
          <w:p>
            <w:pPr>
              <w:spacing w:line="240" w:lineRule="exact"/>
              <w:jc w:val="center"/>
              <w:rPr>
                <w:rFonts w:ascii="Times New Roman" w:hAnsi="Times New Roman" w:eastAsia="宋体" w:cs="Times New Roman"/>
                <w:szCs w:val="21"/>
              </w:rPr>
            </w:pPr>
          </w:p>
        </w:tc>
        <w:tc>
          <w:tcPr>
            <w:tcW w:w="3544" w:type="dxa"/>
            <w:vMerge w:val="continue"/>
            <w:vAlign w:val="center"/>
          </w:tcPr>
          <w:p>
            <w:pPr>
              <w:spacing w:line="240" w:lineRule="exact"/>
              <w:jc w:val="center"/>
              <w:rPr>
                <w:rFonts w:ascii="Times New Roman" w:hAnsi="Times New Roman" w:eastAsia="宋体" w:cs="Times New Roman"/>
                <w:szCs w:val="21"/>
              </w:rPr>
            </w:pPr>
          </w:p>
        </w:tc>
        <w:tc>
          <w:tcPr>
            <w:tcW w:w="1276" w:type="dxa"/>
            <w:vMerge w:val="continue"/>
            <w:vAlign w:val="center"/>
          </w:tcPr>
          <w:p>
            <w:pPr>
              <w:spacing w:line="240" w:lineRule="exact"/>
              <w:jc w:val="center"/>
              <w:rPr>
                <w:rFonts w:ascii="Times New Roman" w:hAnsi="Times New Roman" w:eastAsia="宋体" w:cs="Times New Roman"/>
                <w:szCs w:val="21"/>
              </w:rPr>
            </w:pPr>
          </w:p>
        </w:tc>
        <w:tc>
          <w:tcPr>
            <w:tcW w:w="127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1小时平均</w:t>
            </w:r>
          </w:p>
        </w:tc>
        <w:tc>
          <w:tcPr>
            <w:tcW w:w="121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200μg/m</w:t>
            </w:r>
            <w:r>
              <w:rPr>
                <w:rFonts w:ascii="Times New Roman" w:hAnsi="Times New Roman" w:eastAsia="宋体"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3" w:hRule="atLeast"/>
          <w:jc w:val="center"/>
        </w:trPr>
        <w:tc>
          <w:tcPr>
            <w:tcW w:w="987" w:type="dxa"/>
            <w:vMerge w:val="continue"/>
            <w:vAlign w:val="center"/>
          </w:tcPr>
          <w:p>
            <w:pPr>
              <w:spacing w:line="240" w:lineRule="exact"/>
              <w:jc w:val="center"/>
              <w:rPr>
                <w:rFonts w:ascii="Times New Roman" w:hAnsi="Times New Roman" w:eastAsia="宋体" w:cs="Times New Roman"/>
                <w:szCs w:val="21"/>
              </w:rPr>
            </w:pPr>
          </w:p>
        </w:tc>
        <w:tc>
          <w:tcPr>
            <w:tcW w:w="35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《大气污染物综合排放标准》（GB8978-1996）详解</w:t>
            </w:r>
          </w:p>
        </w:tc>
        <w:tc>
          <w:tcPr>
            <w:tcW w:w="127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非甲烷总烃</w:t>
            </w:r>
          </w:p>
        </w:tc>
        <w:tc>
          <w:tcPr>
            <w:tcW w:w="127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1小时平均</w:t>
            </w:r>
          </w:p>
        </w:tc>
        <w:tc>
          <w:tcPr>
            <w:tcW w:w="121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2.0mg/m</w:t>
            </w:r>
            <w:r>
              <w:rPr>
                <w:rFonts w:ascii="Times New Roman" w:hAnsi="Times New Roman" w:eastAsia="宋体"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3" w:hRule="atLeast"/>
          <w:jc w:val="center"/>
        </w:trPr>
        <w:tc>
          <w:tcPr>
            <w:tcW w:w="987" w:type="dxa"/>
            <w:vMerge w:val="continue"/>
            <w:vAlign w:val="center"/>
          </w:tcPr>
          <w:p>
            <w:pPr>
              <w:spacing w:line="240" w:lineRule="exact"/>
              <w:jc w:val="center"/>
              <w:rPr>
                <w:rFonts w:ascii="Times New Roman" w:hAnsi="Times New Roman" w:eastAsia="宋体" w:cs="Times New Roman"/>
                <w:szCs w:val="21"/>
              </w:rPr>
            </w:pPr>
          </w:p>
        </w:tc>
        <w:tc>
          <w:tcPr>
            <w:tcW w:w="3544"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《工业企业设计卫生标准》</w:t>
            </w:r>
          </w:p>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（TJ36-79）</w:t>
            </w:r>
          </w:p>
        </w:tc>
        <w:tc>
          <w:tcPr>
            <w:tcW w:w="127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H</w:t>
            </w:r>
            <w:r>
              <w:rPr>
                <w:rFonts w:ascii="Times New Roman" w:hAnsi="Times New Roman" w:eastAsia="宋体" w:cs="Times New Roman"/>
                <w:szCs w:val="21"/>
                <w:vertAlign w:val="subscript"/>
              </w:rPr>
              <w:t>2</w:t>
            </w:r>
            <w:r>
              <w:rPr>
                <w:rFonts w:ascii="Times New Roman" w:hAnsi="Times New Roman" w:eastAsia="宋体" w:cs="Times New Roman"/>
                <w:szCs w:val="21"/>
              </w:rPr>
              <w:t>S</w:t>
            </w:r>
          </w:p>
        </w:tc>
        <w:tc>
          <w:tcPr>
            <w:tcW w:w="127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一次值</w:t>
            </w:r>
          </w:p>
        </w:tc>
        <w:tc>
          <w:tcPr>
            <w:tcW w:w="121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0.01mg/m</w:t>
            </w:r>
            <w:r>
              <w:rPr>
                <w:rFonts w:ascii="Times New Roman" w:hAnsi="Times New Roman" w:eastAsia="宋体"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3" w:hRule="atLeast"/>
          <w:jc w:val="center"/>
        </w:trPr>
        <w:tc>
          <w:tcPr>
            <w:tcW w:w="987" w:type="dxa"/>
            <w:vMerge w:val="continue"/>
            <w:vAlign w:val="center"/>
          </w:tcPr>
          <w:p>
            <w:pPr>
              <w:spacing w:line="240" w:lineRule="exact"/>
              <w:jc w:val="center"/>
              <w:rPr>
                <w:rFonts w:ascii="Times New Roman" w:hAnsi="Times New Roman" w:eastAsia="宋体" w:cs="Times New Roman"/>
                <w:szCs w:val="21"/>
              </w:rPr>
            </w:pPr>
          </w:p>
        </w:tc>
        <w:tc>
          <w:tcPr>
            <w:tcW w:w="3544" w:type="dxa"/>
            <w:vMerge w:val="continue"/>
            <w:vAlign w:val="center"/>
          </w:tcPr>
          <w:p>
            <w:pPr>
              <w:spacing w:line="240" w:lineRule="exact"/>
              <w:jc w:val="center"/>
              <w:rPr>
                <w:rFonts w:ascii="Times New Roman" w:hAnsi="Times New Roman" w:eastAsia="宋体" w:cs="Times New Roman"/>
                <w:szCs w:val="21"/>
              </w:rPr>
            </w:pPr>
          </w:p>
        </w:tc>
        <w:tc>
          <w:tcPr>
            <w:tcW w:w="127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NH</w:t>
            </w:r>
            <w:r>
              <w:rPr>
                <w:rFonts w:ascii="Times New Roman" w:hAnsi="Times New Roman" w:eastAsia="宋体" w:cs="Times New Roman"/>
                <w:szCs w:val="21"/>
                <w:vertAlign w:val="subscript"/>
              </w:rPr>
              <w:t>3</w:t>
            </w:r>
          </w:p>
        </w:tc>
        <w:tc>
          <w:tcPr>
            <w:tcW w:w="127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一次值</w:t>
            </w:r>
          </w:p>
        </w:tc>
        <w:tc>
          <w:tcPr>
            <w:tcW w:w="121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0.20mg/m</w:t>
            </w:r>
            <w:r>
              <w:rPr>
                <w:rFonts w:ascii="Times New Roman" w:hAnsi="Times New Roman" w:eastAsia="宋体" w:cs="Times New Roman"/>
                <w:szCs w:val="21"/>
                <w:vertAlign w:val="superscript"/>
              </w:rPr>
              <w:t>3</w:t>
            </w:r>
          </w:p>
        </w:tc>
      </w:tr>
    </w:tbl>
    <w:p>
      <w:pPr>
        <w:pStyle w:val="33"/>
        <w:rPr>
          <w:color w:val="auto"/>
        </w:rPr>
      </w:pPr>
      <w:r>
        <w:rPr>
          <w:rFonts w:hint="eastAsia"/>
          <w:color w:val="auto"/>
        </w:rPr>
        <w:t>2.2.1.2 地表水</w:t>
      </w:r>
    </w:p>
    <w:p>
      <w:pPr>
        <w:spacing w:line="480" w:lineRule="exact"/>
        <w:ind w:firstLine="482" w:firstLineChars="200"/>
        <w:rPr>
          <w:rFonts w:ascii="Times New Roman" w:hAnsi="Times New Roman" w:eastAsia="宋体" w:cs="Times New Roman"/>
          <w:kern w:val="0"/>
          <w:sz w:val="24"/>
          <w:szCs w:val="24"/>
        </w:rPr>
      </w:pPr>
      <w:r>
        <w:rPr>
          <w:rFonts w:hint="eastAsia" w:ascii="Times New Roman" w:hAnsi="Times New Roman" w:eastAsia="宋体" w:cs="Times New Roman"/>
          <w:b/>
          <w:sz w:val="24"/>
          <w:szCs w:val="24"/>
        </w:rPr>
        <w:t>本项目变更前后地表水质量标准与原环评一致。</w:t>
      </w:r>
      <w:r>
        <w:rPr>
          <w:rFonts w:hint="eastAsia" w:ascii="Times New Roman" w:hAnsi="Times New Roman" w:eastAsia="宋体" w:cs="Times New Roman"/>
          <w:sz w:val="24"/>
          <w:szCs w:val="24"/>
        </w:rPr>
        <w:t>本项目</w:t>
      </w:r>
      <w:r>
        <w:rPr>
          <w:rFonts w:ascii="Times New Roman" w:hAnsi="Times New Roman" w:eastAsia="宋体" w:cs="Times New Roman"/>
          <w:kern w:val="0"/>
          <w:sz w:val="24"/>
          <w:szCs w:val="24"/>
        </w:rPr>
        <w:t>所处区域</w:t>
      </w:r>
      <w:r>
        <w:rPr>
          <w:rFonts w:hint="eastAsia" w:ascii="Times New Roman" w:hAnsi="Times New Roman" w:eastAsia="宋体" w:cs="Times New Roman"/>
          <w:sz w:val="24"/>
          <w:szCs w:val="24"/>
        </w:rPr>
        <w:t>的地表</w:t>
      </w:r>
      <w:r>
        <w:rPr>
          <w:rFonts w:ascii="Times New Roman" w:hAnsi="Times New Roman" w:eastAsia="宋体" w:cs="Times New Roman"/>
          <w:kern w:val="0"/>
          <w:sz w:val="24"/>
          <w:szCs w:val="24"/>
        </w:rPr>
        <w:t>水体</w:t>
      </w:r>
      <w:r>
        <w:rPr>
          <w:rFonts w:hint="eastAsia" w:ascii="Times New Roman" w:hAnsi="Times New Roman" w:eastAsia="宋体" w:cs="Times New Roman"/>
          <w:kern w:val="0"/>
          <w:sz w:val="24"/>
          <w:szCs w:val="24"/>
        </w:rPr>
        <w:t>为</w:t>
      </w:r>
      <w:r>
        <w:rPr>
          <w:rFonts w:ascii="Times New Roman" w:hAnsi="Times New Roman" w:eastAsia="宋体" w:cs="Times New Roman"/>
          <w:kern w:val="0"/>
          <w:sz w:val="24"/>
          <w:szCs w:val="24"/>
        </w:rPr>
        <w:t>马颊河。马颊河</w:t>
      </w:r>
      <w:r>
        <w:rPr>
          <w:rFonts w:hint="eastAsia" w:ascii="Times New Roman" w:hAnsi="Times New Roman" w:eastAsia="宋体" w:cs="Times New Roman"/>
          <w:kern w:val="0"/>
          <w:sz w:val="24"/>
          <w:szCs w:val="24"/>
        </w:rPr>
        <w:t>为Ⅳ类水体，</w:t>
      </w:r>
      <w:r>
        <w:rPr>
          <w:rFonts w:ascii="Times New Roman" w:hAnsi="Times New Roman" w:eastAsia="宋体" w:cs="Times New Roman"/>
          <w:kern w:val="0"/>
          <w:sz w:val="24"/>
          <w:szCs w:val="24"/>
        </w:rPr>
        <w:t>执行《地表水环境质量标准》(GB3838-2002)</w:t>
      </w:r>
      <w:r>
        <w:rPr>
          <w:rFonts w:hint="eastAsia" w:ascii="Times New Roman" w:hAnsi="Times New Roman" w:eastAsia="宋体" w:cs="Times New Roman"/>
          <w:kern w:val="0"/>
          <w:sz w:val="24"/>
          <w:szCs w:val="24"/>
        </w:rPr>
        <w:t>Ⅳ类标准</w:t>
      </w:r>
      <w:r>
        <w:rPr>
          <w:rFonts w:ascii="Times New Roman" w:hAnsi="Times New Roman" w:eastAsia="宋体" w:cs="Times New Roman"/>
          <w:kern w:val="0"/>
          <w:sz w:val="24"/>
          <w:szCs w:val="24"/>
        </w:rPr>
        <w:t>。</w:t>
      </w:r>
    </w:p>
    <w:p>
      <w:pPr>
        <w:spacing w:line="480" w:lineRule="exact"/>
        <w:ind w:firstLine="480" w:firstLineChars="200"/>
        <w:rPr>
          <w:rFonts w:ascii="Times New Roman" w:hAnsi="Times New Roman" w:eastAsia="黑体" w:cs="Times New Roman"/>
          <w:sz w:val="24"/>
        </w:rPr>
      </w:pPr>
      <w:r>
        <w:rPr>
          <w:rFonts w:ascii="Times New Roman" w:hAnsi="Times New Roman" w:eastAsia="黑体" w:cs="Times New Roman"/>
          <w:sz w:val="24"/>
        </w:rPr>
        <w:t>表2.2-2             地表水环境质量标准一览表</w:t>
      </w:r>
    </w:p>
    <w:tbl>
      <w:tblPr>
        <w:tblStyle w:val="19"/>
        <w:tblW w:w="8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155"/>
        <w:gridCol w:w="1417"/>
        <w:gridCol w:w="2126"/>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15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项目</w:t>
            </w:r>
          </w:p>
        </w:tc>
        <w:tc>
          <w:tcPr>
            <w:tcW w:w="141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单位</w:t>
            </w: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标准限值</w:t>
            </w:r>
          </w:p>
        </w:tc>
        <w:tc>
          <w:tcPr>
            <w:tcW w:w="266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15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pH值</w:t>
            </w:r>
          </w:p>
        </w:tc>
        <w:tc>
          <w:tcPr>
            <w:tcW w:w="141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w:t>
            </w: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6～9（无量纲）</w:t>
            </w:r>
          </w:p>
        </w:tc>
        <w:tc>
          <w:tcPr>
            <w:tcW w:w="2664"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《地表水环境质量标准》（GB3838—2002）</w:t>
            </w:r>
            <w:r>
              <w:rPr>
                <w:rFonts w:hint="eastAsia" w:ascii="Times New Roman" w:hAnsi="Times New Roman" w:eastAsia="宋体" w:cs="Times New Roman"/>
                <w:kern w:val="0"/>
                <w:szCs w:val="21"/>
              </w:rPr>
              <w:t>Ⅳ</w:t>
            </w:r>
            <w:r>
              <w:rPr>
                <w:rFonts w:ascii="Times New Roman" w:hAnsi="Times New Roman" w:eastAsia="宋体" w:cs="Times New Roman"/>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15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COD</w:t>
            </w:r>
          </w:p>
        </w:tc>
        <w:tc>
          <w:tcPr>
            <w:tcW w:w="141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mg/L</w:t>
            </w: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≤30</w:t>
            </w:r>
          </w:p>
        </w:tc>
        <w:tc>
          <w:tcPr>
            <w:tcW w:w="2664"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15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BOD</w:t>
            </w:r>
            <w:r>
              <w:rPr>
                <w:rFonts w:ascii="Times New Roman" w:hAnsi="Times New Roman" w:eastAsia="宋体" w:cs="Times New Roman"/>
                <w:szCs w:val="21"/>
                <w:vertAlign w:val="subscript"/>
              </w:rPr>
              <w:t>5</w:t>
            </w:r>
          </w:p>
        </w:tc>
        <w:tc>
          <w:tcPr>
            <w:tcW w:w="141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mg/L</w:t>
            </w: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≤6</w:t>
            </w:r>
          </w:p>
        </w:tc>
        <w:tc>
          <w:tcPr>
            <w:tcW w:w="2664"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15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溶解氧</w:t>
            </w:r>
          </w:p>
        </w:tc>
        <w:tc>
          <w:tcPr>
            <w:tcW w:w="141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mg/L</w:t>
            </w: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w:t>
            </w:r>
          </w:p>
        </w:tc>
        <w:tc>
          <w:tcPr>
            <w:tcW w:w="2664"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155" w:type="dxa"/>
            <w:vAlign w:val="center"/>
          </w:tcPr>
          <w:p>
            <w:pPr>
              <w:spacing w:line="240" w:lineRule="exact"/>
              <w:jc w:val="center"/>
              <w:rPr>
                <w:rFonts w:ascii="Times New Roman" w:hAnsi="Times New Roman" w:eastAsia="宋体" w:cs="Times New Roman"/>
                <w:szCs w:val="21"/>
                <w:vertAlign w:val="superscript"/>
              </w:rPr>
            </w:pPr>
            <w:r>
              <w:rPr>
                <w:rFonts w:ascii="Times New Roman" w:hAnsi="Times New Roman" w:eastAsia="宋体" w:cs="Times New Roman"/>
                <w:szCs w:val="21"/>
              </w:rPr>
              <w:t>氟化物</w:t>
            </w:r>
          </w:p>
        </w:tc>
        <w:tc>
          <w:tcPr>
            <w:tcW w:w="141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mg/L</w:t>
            </w: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≤1.5</w:t>
            </w:r>
          </w:p>
        </w:tc>
        <w:tc>
          <w:tcPr>
            <w:tcW w:w="2664"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15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石油类</w:t>
            </w:r>
          </w:p>
        </w:tc>
        <w:tc>
          <w:tcPr>
            <w:tcW w:w="141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mg/L</w:t>
            </w: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≤0.5</w:t>
            </w:r>
          </w:p>
        </w:tc>
        <w:tc>
          <w:tcPr>
            <w:tcW w:w="2664"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15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挥发酚</w:t>
            </w:r>
          </w:p>
        </w:tc>
        <w:tc>
          <w:tcPr>
            <w:tcW w:w="141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mg/L</w:t>
            </w: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≤0.01</w:t>
            </w:r>
          </w:p>
        </w:tc>
        <w:tc>
          <w:tcPr>
            <w:tcW w:w="2664"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15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高锰酸盐指数</w:t>
            </w:r>
          </w:p>
        </w:tc>
        <w:tc>
          <w:tcPr>
            <w:tcW w:w="141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mg/L</w:t>
            </w: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w:t>
            </w:r>
          </w:p>
        </w:tc>
        <w:tc>
          <w:tcPr>
            <w:tcW w:w="2664"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15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铅</w:t>
            </w:r>
          </w:p>
        </w:tc>
        <w:tc>
          <w:tcPr>
            <w:tcW w:w="141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mg/L</w:t>
            </w: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≤0.05</w:t>
            </w:r>
          </w:p>
        </w:tc>
        <w:tc>
          <w:tcPr>
            <w:tcW w:w="2664"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15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镉</w:t>
            </w:r>
          </w:p>
        </w:tc>
        <w:tc>
          <w:tcPr>
            <w:tcW w:w="141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mg/L</w:t>
            </w: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≤0.005</w:t>
            </w:r>
          </w:p>
        </w:tc>
        <w:tc>
          <w:tcPr>
            <w:tcW w:w="2664"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15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砷</w:t>
            </w:r>
          </w:p>
        </w:tc>
        <w:tc>
          <w:tcPr>
            <w:tcW w:w="141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mg/L</w:t>
            </w: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≤0.1</w:t>
            </w:r>
          </w:p>
        </w:tc>
        <w:tc>
          <w:tcPr>
            <w:tcW w:w="2664"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15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汞</w:t>
            </w:r>
          </w:p>
        </w:tc>
        <w:tc>
          <w:tcPr>
            <w:tcW w:w="141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mg/L</w:t>
            </w: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≤0.001</w:t>
            </w:r>
          </w:p>
        </w:tc>
        <w:tc>
          <w:tcPr>
            <w:tcW w:w="2664"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155" w:type="dxa"/>
            <w:vAlign w:val="center"/>
          </w:tcPr>
          <w:p>
            <w:pPr>
              <w:spacing w:line="240" w:lineRule="exact"/>
              <w:jc w:val="center"/>
              <w:rPr>
                <w:rFonts w:ascii="Times New Roman" w:hAnsi="Times New Roman" w:eastAsia="宋体" w:cs="Times New Roman"/>
                <w:szCs w:val="21"/>
                <w:vertAlign w:val="superscript"/>
              </w:rPr>
            </w:pPr>
            <w:r>
              <w:rPr>
                <w:rFonts w:ascii="Times New Roman" w:hAnsi="Times New Roman" w:eastAsia="宋体" w:cs="Times New Roman"/>
                <w:szCs w:val="21"/>
              </w:rPr>
              <w:t>六价铬</w:t>
            </w:r>
          </w:p>
        </w:tc>
        <w:tc>
          <w:tcPr>
            <w:tcW w:w="141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mg/L</w:t>
            </w: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≤0.05</w:t>
            </w:r>
          </w:p>
        </w:tc>
        <w:tc>
          <w:tcPr>
            <w:tcW w:w="2664" w:type="dxa"/>
            <w:vMerge w:val="continue"/>
            <w:vAlign w:val="center"/>
          </w:tcPr>
          <w:p>
            <w:pPr>
              <w:spacing w:line="240" w:lineRule="exact"/>
              <w:jc w:val="center"/>
              <w:rPr>
                <w:rFonts w:ascii="Times New Roman" w:hAnsi="Times New Roman" w:eastAsia="宋体" w:cs="Times New Roman"/>
                <w:szCs w:val="21"/>
              </w:rPr>
            </w:pPr>
          </w:p>
        </w:tc>
      </w:tr>
    </w:tbl>
    <w:p>
      <w:pPr>
        <w:pStyle w:val="33"/>
        <w:rPr>
          <w:color w:val="auto"/>
        </w:rPr>
      </w:pPr>
      <w:r>
        <w:rPr>
          <w:rFonts w:hint="eastAsia"/>
          <w:color w:val="auto"/>
        </w:rPr>
        <w:t>2.2.1.</w:t>
      </w:r>
      <w:r>
        <w:rPr>
          <w:color w:val="auto"/>
        </w:rPr>
        <w:t>3</w:t>
      </w:r>
      <w:r>
        <w:rPr>
          <w:rFonts w:hint="eastAsia"/>
          <w:color w:val="auto"/>
        </w:rPr>
        <w:t xml:space="preserve"> 地下水</w:t>
      </w:r>
    </w:p>
    <w:p>
      <w:pPr>
        <w:spacing w:line="480" w:lineRule="exact"/>
        <w:ind w:firstLine="482" w:firstLineChars="200"/>
        <w:rPr>
          <w:rFonts w:ascii="Times New Roman" w:hAnsi="Times New Roman" w:eastAsia="宋体" w:cs="Times New Roman"/>
          <w:kern w:val="0"/>
          <w:sz w:val="24"/>
          <w:szCs w:val="24"/>
        </w:rPr>
      </w:pPr>
      <w:r>
        <w:rPr>
          <w:rFonts w:hint="eastAsia" w:ascii="Times New Roman" w:hAnsi="Times New Roman" w:eastAsia="宋体" w:cs="Times New Roman"/>
          <w:b/>
          <w:sz w:val="24"/>
          <w:szCs w:val="24"/>
        </w:rPr>
        <w:t>本项目变更前后地下水质量标准与原环评一致。</w:t>
      </w:r>
      <w:r>
        <w:rPr>
          <w:rFonts w:hint="eastAsia" w:ascii="Times New Roman" w:hAnsi="Times New Roman" w:eastAsia="宋体" w:cs="Times New Roman"/>
          <w:kern w:val="0"/>
          <w:sz w:val="24"/>
          <w:szCs w:val="24"/>
        </w:rPr>
        <w:t>根据《地下水质量标准》（</w:t>
      </w:r>
      <w:r>
        <w:rPr>
          <w:rFonts w:ascii="Times New Roman" w:hAnsi="Times New Roman" w:eastAsia="宋体" w:cs="Times New Roman"/>
          <w:kern w:val="0"/>
          <w:sz w:val="24"/>
          <w:szCs w:val="24"/>
        </w:rPr>
        <w:t>GB14848-</w:t>
      </w:r>
      <w:r>
        <w:rPr>
          <w:rFonts w:hint="eastAsia" w:ascii="Times New Roman" w:hAnsi="Times New Roman" w:eastAsia="宋体" w:cs="Times New Roman"/>
          <w:kern w:val="0"/>
          <w:sz w:val="24"/>
          <w:szCs w:val="24"/>
        </w:rPr>
        <w:t>2017），本项目所处区域地下水属于“</w:t>
      </w:r>
      <w:r>
        <w:rPr>
          <w:rFonts w:hint="eastAsia" w:ascii="宋体" w:hAnsi="宋体" w:eastAsia="宋体" w:cs="宋体"/>
          <w:kern w:val="0"/>
          <w:sz w:val="24"/>
          <w:szCs w:val="24"/>
          <w:lang w:eastAsia="ja-JP"/>
        </w:rPr>
        <w:t>Ⅲ</w:t>
      </w:r>
      <w:r>
        <w:rPr>
          <w:rFonts w:hint="eastAsia" w:ascii="Times New Roman" w:hAnsi="Times New Roman" w:eastAsia="宋体" w:cs="Times New Roman"/>
          <w:kern w:val="0"/>
          <w:sz w:val="24"/>
          <w:szCs w:val="24"/>
        </w:rPr>
        <w:t>类以人体健康基准值为依据，主要适用于集中式生活饮用水水源及工、农业用水”。</w:t>
      </w:r>
    </w:p>
    <w:p>
      <w:pPr>
        <w:spacing w:line="480" w:lineRule="exact"/>
        <w:ind w:firstLine="480" w:firstLineChars="200"/>
        <w:rPr>
          <w:rFonts w:ascii="Times New Roman" w:hAnsi="Times New Roman" w:eastAsia="黑体" w:cs="Times New Roman"/>
          <w:sz w:val="24"/>
        </w:rPr>
      </w:pPr>
      <w:r>
        <w:rPr>
          <w:rFonts w:ascii="Times New Roman" w:hAnsi="Times New Roman" w:eastAsia="黑体" w:cs="Times New Roman"/>
          <w:sz w:val="24"/>
        </w:rPr>
        <w:t>表2.2-3            地下水环境质量标准一览表</w:t>
      </w:r>
    </w:p>
    <w:tbl>
      <w:tblPr>
        <w:tblStyle w:val="19"/>
        <w:tblW w:w="8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1872"/>
        <w:gridCol w:w="709"/>
        <w:gridCol w:w="1383"/>
        <w:gridCol w:w="1560"/>
        <w:gridCol w:w="1308"/>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jc w:val="center"/>
        </w:trPr>
        <w:tc>
          <w:tcPr>
            <w:tcW w:w="187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项目</w:t>
            </w:r>
          </w:p>
        </w:tc>
        <w:tc>
          <w:tcPr>
            <w:tcW w:w="70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单位</w:t>
            </w:r>
          </w:p>
        </w:tc>
        <w:tc>
          <w:tcPr>
            <w:tcW w:w="138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标准限值</w:t>
            </w:r>
          </w:p>
        </w:tc>
        <w:tc>
          <w:tcPr>
            <w:tcW w:w="156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项目</w:t>
            </w:r>
          </w:p>
        </w:tc>
        <w:tc>
          <w:tcPr>
            <w:tcW w:w="1308"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单位</w:t>
            </w:r>
          </w:p>
        </w:tc>
        <w:tc>
          <w:tcPr>
            <w:tcW w:w="153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jc w:val="center"/>
        </w:trPr>
        <w:tc>
          <w:tcPr>
            <w:tcW w:w="187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pH</w:t>
            </w:r>
          </w:p>
        </w:tc>
        <w:tc>
          <w:tcPr>
            <w:tcW w:w="70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w:t>
            </w:r>
          </w:p>
        </w:tc>
        <w:tc>
          <w:tcPr>
            <w:tcW w:w="138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6.5～8.5</w:t>
            </w:r>
          </w:p>
        </w:tc>
        <w:tc>
          <w:tcPr>
            <w:tcW w:w="156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铁</w:t>
            </w:r>
          </w:p>
        </w:tc>
        <w:tc>
          <w:tcPr>
            <w:tcW w:w="1308"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mg/L</w:t>
            </w:r>
          </w:p>
        </w:tc>
        <w:tc>
          <w:tcPr>
            <w:tcW w:w="153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jc w:val="center"/>
        </w:trPr>
        <w:tc>
          <w:tcPr>
            <w:tcW w:w="187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色度</w:t>
            </w:r>
          </w:p>
        </w:tc>
        <w:tc>
          <w:tcPr>
            <w:tcW w:w="709"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mg/L</w:t>
            </w:r>
          </w:p>
        </w:tc>
        <w:tc>
          <w:tcPr>
            <w:tcW w:w="1383"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≤15倍</w:t>
            </w:r>
          </w:p>
        </w:tc>
        <w:tc>
          <w:tcPr>
            <w:tcW w:w="156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锰</w:t>
            </w:r>
          </w:p>
        </w:tc>
        <w:tc>
          <w:tcPr>
            <w:tcW w:w="1308" w:type="dxa"/>
            <w:vMerge w:val="continue"/>
            <w:vAlign w:val="center"/>
          </w:tcPr>
          <w:p>
            <w:pPr>
              <w:spacing w:line="240" w:lineRule="exact"/>
              <w:jc w:val="center"/>
              <w:rPr>
                <w:rFonts w:ascii="Times New Roman" w:hAnsi="Times New Roman" w:eastAsia="宋体" w:cs="Times New Roman"/>
                <w:szCs w:val="21"/>
              </w:rPr>
            </w:pPr>
          </w:p>
        </w:tc>
        <w:tc>
          <w:tcPr>
            <w:tcW w:w="153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jc w:val="center"/>
        </w:trPr>
        <w:tc>
          <w:tcPr>
            <w:tcW w:w="187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总硬度</w:t>
            </w:r>
          </w:p>
        </w:tc>
        <w:tc>
          <w:tcPr>
            <w:tcW w:w="709" w:type="dxa"/>
            <w:vMerge w:val="continue"/>
            <w:vAlign w:val="center"/>
          </w:tcPr>
          <w:p>
            <w:pPr>
              <w:spacing w:line="240" w:lineRule="exact"/>
              <w:jc w:val="center"/>
              <w:rPr>
                <w:rFonts w:ascii="Times New Roman" w:hAnsi="Times New Roman" w:eastAsia="宋体" w:cs="Times New Roman"/>
                <w:szCs w:val="21"/>
              </w:rPr>
            </w:pPr>
          </w:p>
        </w:tc>
        <w:tc>
          <w:tcPr>
            <w:tcW w:w="138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≤450</w:t>
            </w:r>
          </w:p>
        </w:tc>
        <w:tc>
          <w:tcPr>
            <w:tcW w:w="156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汞</w:t>
            </w:r>
          </w:p>
        </w:tc>
        <w:tc>
          <w:tcPr>
            <w:tcW w:w="1308" w:type="dxa"/>
            <w:vMerge w:val="continue"/>
            <w:vAlign w:val="center"/>
          </w:tcPr>
          <w:p>
            <w:pPr>
              <w:spacing w:line="240" w:lineRule="exact"/>
              <w:jc w:val="center"/>
              <w:rPr>
                <w:rFonts w:ascii="Times New Roman" w:hAnsi="Times New Roman" w:eastAsia="宋体" w:cs="Times New Roman"/>
                <w:szCs w:val="21"/>
              </w:rPr>
            </w:pPr>
          </w:p>
        </w:tc>
        <w:tc>
          <w:tcPr>
            <w:tcW w:w="153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jc w:val="center"/>
        </w:trPr>
        <w:tc>
          <w:tcPr>
            <w:tcW w:w="187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溶解性总固体</w:t>
            </w:r>
          </w:p>
        </w:tc>
        <w:tc>
          <w:tcPr>
            <w:tcW w:w="709" w:type="dxa"/>
            <w:vMerge w:val="continue"/>
            <w:vAlign w:val="center"/>
          </w:tcPr>
          <w:p>
            <w:pPr>
              <w:spacing w:line="240" w:lineRule="exact"/>
              <w:jc w:val="center"/>
              <w:rPr>
                <w:rFonts w:ascii="Times New Roman" w:hAnsi="Times New Roman" w:eastAsia="宋体" w:cs="Times New Roman"/>
                <w:szCs w:val="21"/>
              </w:rPr>
            </w:pPr>
          </w:p>
        </w:tc>
        <w:tc>
          <w:tcPr>
            <w:tcW w:w="138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≤1000</w:t>
            </w:r>
          </w:p>
        </w:tc>
        <w:tc>
          <w:tcPr>
            <w:tcW w:w="156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砷</w:t>
            </w:r>
          </w:p>
        </w:tc>
        <w:tc>
          <w:tcPr>
            <w:tcW w:w="1308" w:type="dxa"/>
            <w:vMerge w:val="continue"/>
            <w:vAlign w:val="center"/>
          </w:tcPr>
          <w:p>
            <w:pPr>
              <w:spacing w:line="240" w:lineRule="exact"/>
              <w:jc w:val="center"/>
              <w:rPr>
                <w:rFonts w:ascii="Times New Roman" w:hAnsi="Times New Roman" w:eastAsia="宋体" w:cs="Times New Roman"/>
                <w:szCs w:val="21"/>
              </w:rPr>
            </w:pPr>
          </w:p>
        </w:tc>
        <w:tc>
          <w:tcPr>
            <w:tcW w:w="153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jc w:val="center"/>
        </w:trPr>
        <w:tc>
          <w:tcPr>
            <w:tcW w:w="187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耗氧量</w:t>
            </w:r>
          </w:p>
        </w:tc>
        <w:tc>
          <w:tcPr>
            <w:tcW w:w="709" w:type="dxa"/>
            <w:vMerge w:val="continue"/>
            <w:vAlign w:val="center"/>
          </w:tcPr>
          <w:p>
            <w:pPr>
              <w:spacing w:line="240" w:lineRule="exact"/>
              <w:jc w:val="center"/>
              <w:rPr>
                <w:rFonts w:ascii="Times New Roman" w:hAnsi="Times New Roman" w:eastAsia="宋体" w:cs="Times New Roman"/>
                <w:szCs w:val="21"/>
              </w:rPr>
            </w:pPr>
          </w:p>
        </w:tc>
        <w:tc>
          <w:tcPr>
            <w:tcW w:w="138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≤3.0</w:t>
            </w:r>
          </w:p>
        </w:tc>
        <w:tc>
          <w:tcPr>
            <w:tcW w:w="156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铬（六价）</w:t>
            </w:r>
          </w:p>
        </w:tc>
        <w:tc>
          <w:tcPr>
            <w:tcW w:w="1308" w:type="dxa"/>
            <w:vMerge w:val="continue"/>
            <w:vAlign w:val="center"/>
          </w:tcPr>
          <w:p>
            <w:pPr>
              <w:spacing w:line="240" w:lineRule="exact"/>
              <w:jc w:val="center"/>
              <w:rPr>
                <w:rFonts w:ascii="Times New Roman" w:hAnsi="Times New Roman" w:eastAsia="宋体" w:cs="Times New Roman"/>
                <w:szCs w:val="21"/>
              </w:rPr>
            </w:pPr>
          </w:p>
        </w:tc>
        <w:tc>
          <w:tcPr>
            <w:tcW w:w="153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jc w:val="center"/>
        </w:trPr>
        <w:tc>
          <w:tcPr>
            <w:tcW w:w="187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氟化物</w:t>
            </w:r>
          </w:p>
        </w:tc>
        <w:tc>
          <w:tcPr>
            <w:tcW w:w="709" w:type="dxa"/>
            <w:vMerge w:val="continue"/>
            <w:vAlign w:val="center"/>
          </w:tcPr>
          <w:p>
            <w:pPr>
              <w:spacing w:line="240" w:lineRule="exact"/>
              <w:jc w:val="center"/>
              <w:rPr>
                <w:rFonts w:ascii="Times New Roman" w:hAnsi="Times New Roman" w:eastAsia="宋体" w:cs="Times New Roman"/>
                <w:szCs w:val="21"/>
              </w:rPr>
            </w:pPr>
          </w:p>
        </w:tc>
        <w:tc>
          <w:tcPr>
            <w:tcW w:w="138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w:t>
            </w:r>
          </w:p>
        </w:tc>
        <w:tc>
          <w:tcPr>
            <w:tcW w:w="156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铅</w:t>
            </w:r>
          </w:p>
        </w:tc>
        <w:tc>
          <w:tcPr>
            <w:tcW w:w="1308" w:type="dxa"/>
            <w:vMerge w:val="continue"/>
            <w:vAlign w:val="center"/>
          </w:tcPr>
          <w:p>
            <w:pPr>
              <w:spacing w:line="240" w:lineRule="exact"/>
              <w:jc w:val="center"/>
              <w:rPr>
                <w:rFonts w:ascii="Times New Roman" w:hAnsi="Times New Roman" w:eastAsia="宋体" w:cs="Times New Roman"/>
                <w:szCs w:val="21"/>
              </w:rPr>
            </w:pPr>
          </w:p>
        </w:tc>
        <w:tc>
          <w:tcPr>
            <w:tcW w:w="153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jc w:val="center"/>
        </w:trPr>
        <w:tc>
          <w:tcPr>
            <w:tcW w:w="187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氰化物</w:t>
            </w:r>
          </w:p>
        </w:tc>
        <w:tc>
          <w:tcPr>
            <w:tcW w:w="709" w:type="dxa"/>
            <w:vMerge w:val="continue"/>
            <w:vAlign w:val="center"/>
          </w:tcPr>
          <w:p>
            <w:pPr>
              <w:spacing w:line="240" w:lineRule="exact"/>
              <w:jc w:val="center"/>
              <w:rPr>
                <w:rFonts w:ascii="Times New Roman" w:hAnsi="Times New Roman" w:eastAsia="宋体" w:cs="Times New Roman"/>
                <w:szCs w:val="21"/>
              </w:rPr>
            </w:pPr>
          </w:p>
        </w:tc>
        <w:tc>
          <w:tcPr>
            <w:tcW w:w="138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≤0.05</w:t>
            </w:r>
          </w:p>
        </w:tc>
        <w:tc>
          <w:tcPr>
            <w:tcW w:w="156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镉</w:t>
            </w:r>
          </w:p>
        </w:tc>
        <w:tc>
          <w:tcPr>
            <w:tcW w:w="1308" w:type="dxa"/>
            <w:vMerge w:val="continue"/>
            <w:vAlign w:val="center"/>
          </w:tcPr>
          <w:p>
            <w:pPr>
              <w:spacing w:line="240" w:lineRule="exact"/>
              <w:jc w:val="center"/>
              <w:rPr>
                <w:rFonts w:ascii="Times New Roman" w:hAnsi="Times New Roman" w:eastAsia="宋体" w:cs="Times New Roman"/>
                <w:szCs w:val="21"/>
              </w:rPr>
            </w:pPr>
          </w:p>
        </w:tc>
        <w:tc>
          <w:tcPr>
            <w:tcW w:w="153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jc w:val="center"/>
        </w:trPr>
        <w:tc>
          <w:tcPr>
            <w:tcW w:w="187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氯化物</w:t>
            </w:r>
          </w:p>
        </w:tc>
        <w:tc>
          <w:tcPr>
            <w:tcW w:w="709" w:type="dxa"/>
            <w:vMerge w:val="continue"/>
            <w:vAlign w:val="center"/>
          </w:tcPr>
          <w:p>
            <w:pPr>
              <w:spacing w:line="240" w:lineRule="exact"/>
              <w:jc w:val="center"/>
              <w:rPr>
                <w:rFonts w:ascii="Times New Roman" w:hAnsi="Times New Roman" w:eastAsia="宋体" w:cs="Times New Roman"/>
                <w:szCs w:val="21"/>
              </w:rPr>
            </w:pPr>
          </w:p>
        </w:tc>
        <w:tc>
          <w:tcPr>
            <w:tcW w:w="138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≤250</w:t>
            </w:r>
          </w:p>
        </w:tc>
        <w:tc>
          <w:tcPr>
            <w:tcW w:w="156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硝酸盐</w:t>
            </w:r>
          </w:p>
        </w:tc>
        <w:tc>
          <w:tcPr>
            <w:tcW w:w="1308" w:type="dxa"/>
            <w:vMerge w:val="continue"/>
            <w:vAlign w:val="center"/>
          </w:tcPr>
          <w:p>
            <w:pPr>
              <w:spacing w:line="240" w:lineRule="exact"/>
              <w:jc w:val="center"/>
              <w:rPr>
                <w:rFonts w:ascii="Times New Roman" w:hAnsi="Times New Roman" w:eastAsia="宋体" w:cs="Times New Roman"/>
                <w:szCs w:val="21"/>
              </w:rPr>
            </w:pPr>
          </w:p>
        </w:tc>
        <w:tc>
          <w:tcPr>
            <w:tcW w:w="153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jc w:val="center"/>
        </w:trPr>
        <w:tc>
          <w:tcPr>
            <w:tcW w:w="187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挥发性酚类</w:t>
            </w:r>
          </w:p>
        </w:tc>
        <w:tc>
          <w:tcPr>
            <w:tcW w:w="709" w:type="dxa"/>
            <w:vMerge w:val="continue"/>
            <w:vAlign w:val="center"/>
          </w:tcPr>
          <w:p>
            <w:pPr>
              <w:spacing w:line="240" w:lineRule="exact"/>
              <w:jc w:val="center"/>
              <w:rPr>
                <w:rFonts w:ascii="Times New Roman" w:hAnsi="Times New Roman" w:eastAsia="宋体" w:cs="Times New Roman"/>
                <w:szCs w:val="21"/>
              </w:rPr>
            </w:pPr>
          </w:p>
        </w:tc>
        <w:tc>
          <w:tcPr>
            <w:tcW w:w="138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≤0.002</w:t>
            </w:r>
          </w:p>
        </w:tc>
        <w:tc>
          <w:tcPr>
            <w:tcW w:w="156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亚硝酸盐</w:t>
            </w:r>
          </w:p>
        </w:tc>
        <w:tc>
          <w:tcPr>
            <w:tcW w:w="1308" w:type="dxa"/>
            <w:vMerge w:val="continue"/>
            <w:vAlign w:val="center"/>
          </w:tcPr>
          <w:p>
            <w:pPr>
              <w:spacing w:line="240" w:lineRule="exact"/>
              <w:jc w:val="center"/>
              <w:rPr>
                <w:rFonts w:ascii="Times New Roman" w:hAnsi="Times New Roman" w:eastAsia="宋体" w:cs="Times New Roman"/>
                <w:szCs w:val="21"/>
              </w:rPr>
            </w:pPr>
          </w:p>
        </w:tc>
        <w:tc>
          <w:tcPr>
            <w:tcW w:w="153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jc w:val="center"/>
        </w:trPr>
        <w:tc>
          <w:tcPr>
            <w:tcW w:w="187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氨氮</w:t>
            </w:r>
          </w:p>
        </w:tc>
        <w:tc>
          <w:tcPr>
            <w:tcW w:w="709" w:type="dxa"/>
            <w:vMerge w:val="continue"/>
            <w:vAlign w:val="center"/>
          </w:tcPr>
          <w:p>
            <w:pPr>
              <w:spacing w:line="240" w:lineRule="exact"/>
              <w:jc w:val="center"/>
              <w:rPr>
                <w:rFonts w:ascii="Times New Roman" w:hAnsi="Times New Roman" w:eastAsia="宋体" w:cs="Times New Roman"/>
                <w:szCs w:val="21"/>
              </w:rPr>
            </w:pPr>
          </w:p>
        </w:tc>
        <w:tc>
          <w:tcPr>
            <w:tcW w:w="138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≤0.5</w:t>
            </w:r>
          </w:p>
        </w:tc>
        <w:tc>
          <w:tcPr>
            <w:tcW w:w="1560"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总大肠菌群</w:t>
            </w:r>
          </w:p>
        </w:tc>
        <w:tc>
          <w:tcPr>
            <w:tcW w:w="1308"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MPN/100mL</w:t>
            </w:r>
          </w:p>
        </w:tc>
        <w:tc>
          <w:tcPr>
            <w:tcW w:w="153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jc w:val="center"/>
        </w:trPr>
        <w:tc>
          <w:tcPr>
            <w:tcW w:w="187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硫酸盐</w:t>
            </w:r>
          </w:p>
        </w:tc>
        <w:tc>
          <w:tcPr>
            <w:tcW w:w="709" w:type="dxa"/>
            <w:vMerge w:val="continue"/>
            <w:vAlign w:val="center"/>
          </w:tcPr>
          <w:p>
            <w:pPr>
              <w:spacing w:line="240" w:lineRule="exact"/>
              <w:jc w:val="center"/>
              <w:rPr>
                <w:rFonts w:ascii="Times New Roman" w:hAnsi="Times New Roman" w:eastAsia="宋体" w:cs="Times New Roman"/>
                <w:szCs w:val="21"/>
              </w:rPr>
            </w:pPr>
          </w:p>
        </w:tc>
        <w:tc>
          <w:tcPr>
            <w:tcW w:w="138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≤250</w:t>
            </w:r>
          </w:p>
        </w:tc>
        <w:tc>
          <w:tcPr>
            <w:tcW w:w="1560"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细菌总数</w:t>
            </w:r>
          </w:p>
        </w:tc>
        <w:tc>
          <w:tcPr>
            <w:tcW w:w="1308"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CFU/mL</w:t>
            </w:r>
          </w:p>
        </w:tc>
        <w:tc>
          <w:tcPr>
            <w:tcW w:w="153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r>
    </w:tbl>
    <w:p>
      <w:pPr>
        <w:pStyle w:val="33"/>
        <w:rPr>
          <w:color w:val="auto"/>
        </w:rPr>
      </w:pPr>
      <w:r>
        <w:rPr>
          <w:color w:val="auto"/>
        </w:rPr>
        <w:t>2.</w:t>
      </w:r>
      <w:r>
        <w:rPr>
          <w:rFonts w:hint="eastAsia"/>
          <w:color w:val="auto"/>
        </w:rPr>
        <w:t>2.1.</w:t>
      </w:r>
      <w:r>
        <w:rPr>
          <w:color w:val="auto"/>
        </w:rPr>
        <w:t xml:space="preserve">4 </w:t>
      </w:r>
      <w:r>
        <w:rPr>
          <w:rFonts w:hint="eastAsia"/>
          <w:color w:val="auto"/>
        </w:rPr>
        <w:t>土壤</w:t>
      </w:r>
    </w:p>
    <w:p>
      <w:pPr>
        <w:spacing w:line="480" w:lineRule="exact"/>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本项目变更前后土壤环境质量标准与原环评有变化。</w:t>
      </w:r>
      <w:r>
        <w:rPr>
          <w:rFonts w:ascii="Times New Roman" w:hAnsi="Times New Roman" w:eastAsia="宋体" w:cs="Times New Roman"/>
          <w:sz w:val="24"/>
          <w:szCs w:val="24"/>
        </w:rPr>
        <w:t>本项目所处土壤环境质量分类中</w:t>
      </w:r>
      <w:r>
        <w:rPr>
          <w:rFonts w:hint="eastAsia" w:ascii="Times New Roman" w:hAnsi="Times New Roman" w:eastAsia="宋体" w:cs="Times New Roman"/>
          <w:sz w:val="24"/>
          <w:szCs w:val="24"/>
        </w:rPr>
        <w:t>Ⅱ</w:t>
      </w:r>
      <w:r>
        <w:rPr>
          <w:rFonts w:ascii="Times New Roman" w:hAnsi="Times New Roman" w:eastAsia="宋体" w:cs="Times New Roman"/>
          <w:sz w:val="24"/>
          <w:szCs w:val="24"/>
        </w:rPr>
        <w:t>类“</w:t>
      </w:r>
      <w:r>
        <w:rPr>
          <w:rFonts w:hint="eastAsia" w:ascii="Times New Roman" w:hAnsi="Times New Roman" w:eastAsia="宋体" w:cs="Times New Roman"/>
          <w:sz w:val="24"/>
          <w:szCs w:val="24"/>
        </w:rPr>
        <w:t>Ⅱ</w:t>
      </w:r>
      <w:r>
        <w:rPr>
          <w:rFonts w:ascii="Times New Roman" w:hAnsi="Times New Roman" w:eastAsia="宋体" w:cs="Times New Roman"/>
          <w:sz w:val="24"/>
          <w:szCs w:val="24"/>
        </w:rPr>
        <w:t>类主要适用于一般农田、蔬菜地、茶园、果园、牧场等土壤，土壤质量基本上对植物和环境不造成危害和污染”</w:t>
      </w:r>
      <w:r>
        <w:rPr>
          <w:rFonts w:hint="eastAsia" w:ascii="Times New Roman" w:hAnsi="Times New Roman" w:eastAsia="宋体" w:cs="Times New Roman"/>
          <w:sz w:val="24"/>
          <w:szCs w:val="24"/>
        </w:rPr>
        <w:t>。</w:t>
      </w:r>
      <w:r>
        <w:rPr>
          <w:rFonts w:ascii="Times New Roman" w:hAnsi="Times New Roman" w:eastAsia="宋体" w:cs="Times New Roman"/>
          <w:sz w:val="24"/>
          <w:szCs w:val="24"/>
        </w:rPr>
        <w:t>原环评</w:t>
      </w:r>
      <w:r>
        <w:rPr>
          <w:rFonts w:hint="eastAsia" w:ascii="Times New Roman" w:hAnsi="Times New Roman" w:eastAsia="宋体" w:cs="Times New Roman"/>
          <w:sz w:val="24"/>
          <w:szCs w:val="24"/>
        </w:rPr>
        <w:t>项目</w:t>
      </w:r>
      <w:r>
        <w:rPr>
          <w:rFonts w:ascii="Times New Roman" w:hAnsi="Times New Roman" w:eastAsia="宋体" w:cs="Times New Roman"/>
          <w:kern w:val="0"/>
          <w:sz w:val="24"/>
          <w:szCs w:val="24"/>
        </w:rPr>
        <w:t>所在区域</w:t>
      </w:r>
      <w:r>
        <w:rPr>
          <w:rFonts w:hint="eastAsia" w:ascii="Times New Roman" w:hAnsi="Times New Roman" w:eastAsia="宋体" w:cs="Times New Roman"/>
          <w:kern w:val="0"/>
          <w:sz w:val="24"/>
          <w:szCs w:val="24"/>
        </w:rPr>
        <w:t>土壤执行《土壤环境质量标准》（</w:t>
      </w:r>
      <w:r>
        <w:rPr>
          <w:rFonts w:ascii="Times New Roman" w:hAnsi="Times New Roman" w:eastAsia="宋体" w:cs="Times New Roman"/>
          <w:kern w:val="0"/>
          <w:sz w:val="24"/>
          <w:szCs w:val="24"/>
        </w:rPr>
        <w:t>GB15618-1995</w:t>
      </w:r>
      <w:r>
        <w:rPr>
          <w:rFonts w:hint="eastAsia" w:ascii="Times New Roman" w:hAnsi="Times New Roman" w:eastAsia="宋体" w:cs="Times New Roman"/>
          <w:kern w:val="0"/>
          <w:sz w:val="24"/>
          <w:szCs w:val="24"/>
        </w:rPr>
        <w:t>）二级标准，变更后本项目</w:t>
      </w:r>
      <w:r>
        <w:rPr>
          <w:rFonts w:ascii="Times New Roman" w:hAnsi="Times New Roman" w:eastAsia="宋体" w:cs="Times New Roman"/>
          <w:kern w:val="0"/>
          <w:sz w:val="24"/>
          <w:szCs w:val="24"/>
        </w:rPr>
        <w:t>所在区域</w:t>
      </w:r>
      <w:r>
        <w:rPr>
          <w:rFonts w:hint="eastAsia" w:ascii="Times New Roman" w:hAnsi="Times New Roman" w:eastAsia="宋体" w:cs="Times New Roman"/>
          <w:kern w:val="0"/>
          <w:sz w:val="24"/>
          <w:szCs w:val="24"/>
        </w:rPr>
        <w:t>土壤环境</w:t>
      </w:r>
      <w:r>
        <w:rPr>
          <w:rFonts w:hint="eastAsia" w:ascii="Times New Roman" w:hAnsi="Times New Roman" w:eastAsia="宋体" w:cs="Times New Roman"/>
          <w:sz w:val="24"/>
          <w:szCs w:val="24"/>
        </w:rPr>
        <w:t>执行</w:t>
      </w:r>
      <w:r>
        <w:rPr>
          <w:rFonts w:ascii="Times New Roman" w:hAnsi="Times New Roman" w:eastAsia="宋体" w:cs="Times New Roman"/>
          <w:sz w:val="24"/>
          <w:szCs w:val="24"/>
        </w:rPr>
        <w:t xml:space="preserve">《土壤环境质量 </w:t>
      </w:r>
      <w:r>
        <w:rPr>
          <w:rFonts w:hint="eastAsia" w:ascii="Times New Roman" w:hAnsi="Times New Roman" w:eastAsia="宋体" w:cs="Times New Roman"/>
          <w:sz w:val="24"/>
          <w:szCs w:val="24"/>
        </w:rPr>
        <w:t>农</w:t>
      </w:r>
      <w:r>
        <w:rPr>
          <w:rFonts w:ascii="Times New Roman" w:hAnsi="Times New Roman" w:eastAsia="宋体" w:cs="Times New Roman"/>
          <w:sz w:val="24"/>
          <w:szCs w:val="24"/>
        </w:rPr>
        <w:t>用地土壤污染风险管控标准（试行）》</w:t>
      </w:r>
      <w:r>
        <w:rPr>
          <w:rFonts w:hint="eastAsia" w:ascii="Times New Roman" w:hAnsi="Times New Roman" w:eastAsia="宋体" w:cs="Times New Roman"/>
          <w:sz w:val="24"/>
          <w:szCs w:val="24"/>
        </w:rPr>
        <w:t>（</w:t>
      </w:r>
      <w:r>
        <w:rPr>
          <w:rFonts w:ascii="Times New Roman" w:hAnsi="Times New Roman" w:eastAsia="宋体" w:cs="Times New Roman"/>
          <w:sz w:val="24"/>
          <w:szCs w:val="24"/>
        </w:rPr>
        <w:t>GB15618-2018</w:t>
      </w:r>
      <w:r>
        <w:rPr>
          <w:rFonts w:hint="eastAsia" w:ascii="Times New Roman" w:hAnsi="Times New Roman" w:eastAsia="宋体" w:cs="Times New Roman"/>
          <w:sz w:val="24"/>
          <w:szCs w:val="24"/>
        </w:rPr>
        <w:t>）中农用地土壤污染风险</w:t>
      </w:r>
      <w:r>
        <w:rPr>
          <w:rFonts w:ascii="Times New Roman" w:hAnsi="Times New Roman" w:eastAsia="宋体" w:cs="Times New Roman"/>
          <w:sz w:val="24"/>
          <w:szCs w:val="24"/>
        </w:rPr>
        <w:t>筛选值，</w:t>
      </w:r>
      <w:r>
        <w:rPr>
          <w:rFonts w:hint="eastAsia" w:ascii="Times New Roman" w:hAnsi="Times New Roman" w:eastAsia="宋体" w:cs="Times New Roman"/>
          <w:sz w:val="24"/>
          <w:szCs w:val="24"/>
        </w:rPr>
        <w:t>具体标准值见下表。</w:t>
      </w:r>
    </w:p>
    <w:p>
      <w:pPr>
        <w:spacing w:line="480" w:lineRule="exact"/>
        <w:ind w:firstLine="480" w:firstLineChars="200"/>
        <w:rPr>
          <w:rFonts w:ascii="Times New Roman" w:hAnsi="Times New Roman" w:eastAsia="黑体" w:cs="Times New Roman"/>
          <w:sz w:val="24"/>
        </w:rPr>
      </w:pPr>
      <w:r>
        <w:rPr>
          <w:rFonts w:ascii="Times New Roman" w:hAnsi="Times New Roman" w:eastAsia="黑体" w:cs="Times New Roman"/>
          <w:sz w:val="24"/>
        </w:rPr>
        <w:t xml:space="preserve">表2.2-4         </w:t>
      </w:r>
      <w:r>
        <w:rPr>
          <w:rFonts w:hint="eastAsia" w:ascii="Times New Roman" w:hAnsi="Times New Roman" w:eastAsia="黑体" w:cs="Times New Roman"/>
          <w:sz w:val="24"/>
        </w:rPr>
        <w:t>变更前项目区域土壤</w:t>
      </w:r>
      <w:r>
        <w:rPr>
          <w:rFonts w:ascii="Times New Roman" w:hAnsi="Times New Roman" w:eastAsia="黑体" w:cs="Times New Roman"/>
          <w:sz w:val="24"/>
        </w:rPr>
        <w:t>环境质量标准一览表</w:t>
      </w:r>
    </w:p>
    <w:tbl>
      <w:tblPr>
        <w:tblStyle w:val="19"/>
        <w:tblW w:w="85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13"/>
        <w:gridCol w:w="1956"/>
        <w:gridCol w:w="2016"/>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34"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813"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监测指标</w:t>
            </w:r>
          </w:p>
        </w:tc>
        <w:tc>
          <w:tcPr>
            <w:tcW w:w="5988" w:type="dxa"/>
            <w:gridSpan w:val="3"/>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《土壤环境质量标准》(GB15618-1995)二级标准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1813" w:type="dxa"/>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pH值（无量纲）</w:t>
            </w:r>
          </w:p>
        </w:tc>
        <w:tc>
          <w:tcPr>
            <w:tcW w:w="1956" w:type="dxa"/>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＜6.5</w:t>
            </w:r>
          </w:p>
        </w:tc>
        <w:tc>
          <w:tcPr>
            <w:tcW w:w="2016" w:type="dxa"/>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6.5~7.5</w:t>
            </w:r>
          </w:p>
        </w:tc>
        <w:tc>
          <w:tcPr>
            <w:tcW w:w="201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1813"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铜≤</w:t>
            </w:r>
          </w:p>
        </w:tc>
        <w:tc>
          <w:tcPr>
            <w:tcW w:w="1956" w:type="dxa"/>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50（农田）</w:t>
            </w:r>
          </w:p>
        </w:tc>
        <w:tc>
          <w:tcPr>
            <w:tcW w:w="2016"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100（农田）</w:t>
            </w:r>
          </w:p>
        </w:tc>
        <w:tc>
          <w:tcPr>
            <w:tcW w:w="201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100</w:t>
            </w:r>
            <w:r>
              <w:rPr>
                <w:rFonts w:ascii="Times New Roman" w:hAnsi="Times New Roman" w:eastAsia="宋体" w:cs="Times New Roman"/>
                <w:szCs w:val="21"/>
              </w:rPr>
              <w:t>（农田</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w:t>
            </w:r>
          </w:p>
        </w:tc>
        <w:tc>
          <w:tcPr>
            <w:tcW w:w="1813"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锌≤</w:t>
            </w:r>
          </w:p>
        </w:tc>
        <w:tc>
          <w:tcPr>
            <w:tcW w:w="1956" w:type="dxa"/>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200</w:t>
            </w:r>
          </w:p>
        </w:tc>
        <w:tc>
          <w:tcPr>
            <w:tcW w:w="2016" w:type="dxa"/>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25</w:t>
            </w:r>
            <w:r>
              <w:rPr>
                <w:rFonts w:ascii="Times New Roman" w:hAnsi="Times New Roman" w:eastAsia="宋体" w:cs="Times New Roman"/>
                <w:szCs w:val="21"/>
              </w:rPr>
              <w:t>0</w:t>
            </w:r>
          </w:p>
        </w:tc>
        <w:tc>
          <w:tcPr>
            <w:tcW w:w="201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4</w:t>
            </w:r>
          </w:p>
        </w:tc>
        <w:tc>
          <w:tcPr>
            <w:tcW w:w="1813"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铅≤</w:t>
            </w:r>
          </w:p>
        </w:tc>
        <w:tc>
          <w:tcPr>
            <w:tcW w:w="1956" w:type="dxa"/>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250</w:t>
            </w:r>
          </w:p>
        </w:tc>
        <w:tc>
          <w:tcPr>
            <w:tcW w:w="2016"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0</w:t>
            </w:r>
            <w:r>
              <w:rPr>
                <w:rFonts w:ascii="Times New Roman" w:hAnsi="Times New Roman" w:eastAsia="宋体" w:cs="Times New Roman"/>
                <w:szCs w:val="21"/>
              </w:rPr>
              <w:t>0</w:t>
            </w:r>
          </w:p>
        </w:tc>
        <w:tc>
          <w:tcPr>
            <w:tcW w:w="201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5</w:t>
            </w:r>
          </w:p>
        </w:tc>
        <w:tc>
          <w:tcPr>
            <w:tcW w:w="1813"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镉≤</w:t>
            </w:r>
          </w:p>
        </w:tc>
        <w:tc>
          <w:tcPr>
            <w:tcW w:w="1956" w:type="dxa"/>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0.30</w:t>
            </w:r>
          </w:p>
        </w:tc>
        <w:tc>
          <w:tcPr>
            <w:tcW w:w="2016"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30</w:t>
            </w:r>
          </w:p>
        </w:tc>
        <w:tc>
          <w:tcPr>
            <w:tcW w:w="201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6</w:t>
            </w:r>
          </w:p>
        </w:tc>
        <w:tc>
          <w:tcPr>
            <w:tcW w:w="1813"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砷≤</w:t>
            </w:r>
          </w:p>
        </w:tc>
        <w:tc>
          <w:tcPr>
            <w:tcW w:w="1956" w:type="dxa"/>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40（旱地）</w:t>
            </w:r>
          </w:p>
        </w:tc>
        <w:tc>
          <w:tcPr>
            <w:tcW w:w="2016" w:type="dxa"/>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30（</w:t>
            </w:r>
            <w:r>
              <w:rPr>
                <w:rFonts w:ascii="Times New Roman" w:hAnsi="Times New Roman" w:eastAsia="宋体" w:cs="Times New Roman"/>
                <w:szCs w:val="21"/>
              </w:rPr>
              <w:t>旱地</w:t>
            </w:r>
            <w:r>
              <w:rPr>
                <w:rFonts w:hint="eastAsia" w:ascii="Times New Roman" w:hAnsi="Times New Roman" w:eastAsia="宋体" w:cs="Times New Roman"/>
                <w:szCs w:val="21"/>
              </w:rPr>
              <w:t>）</w:t>
            </w:r>
          </w:p>
        </w:tc>
        <w:tc>
          <w:tcPr>
            <w:tcW w:w="201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25（旱地）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7</w:t>
            </w:r>
          </w:p>
        </w:tc>
        <w:tc>
          <w:tcPr>
            <w:tcW w:w="1813"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汞≤</w:t>
            </w:r>
          </w:p>
        </w:tc>
        <w:tc>
          <w:tcPr>
            <w:tcW w:w="1956" w:type="dxa"/>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0.30</w:t>
            </w:r>
          </w:p>
        </w:tc>
        <w:tc>
          <w:tcPr>
            <w:tcW w:w="2016" w:type="dxa"/>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0.50</w:t>
            </w:r>
          </w:p>
        </w:tc>
        <w:tc>
          <w:tcPr>
            <w:tcW w:w="201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8</w:t>
            </w:r>
          </w:p>
        </w:tc>
        <w:tc>
          <w:tcPr>
            <w:tcW w:w="1813"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铬≤</w:t>
            </w:r>
          </w:p>
        </w:tc>
        <w:tc>
          <w:tcPr>
            <w:tcW w:w="1956" w:type="dxa"/>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150（旱地）</w:t>
            </w:r>
          </w:p>
        </w:tc>
        <w:tc>
          <w:tcPr>
            <w:tcW w:w="2016"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0</w:t>
            </w:r>
            <w:r>
              <w:rPr>
                <w:rFonts w:ascii="Times New Roman" w:hAnsi="Times New Roman" w:eastAsia="宋体" w:cs="Times New Roman"/>
                <w:szCs w:val="21"/>
              </w:rPr>
              <w:t>0（旱地）</w:t>
            </w:r>
          </w:p>
        </w:tc>
        <w:tc>
          <w:tcPr>
            <w:tcW w:w="201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9</w:t>
            </w:r>
          </w:p>
        </w:tc>
        <w:tc>
          <w:tcPr>
            <w:tcW w:w="1813"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镍≤</w:t>
            </w:r>
          </w:p>
        </w:tc>
        <w:tc>
          <w:tcPr>
            <w:tcW w:w="1956" w:type="dxa"/>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40</w:t>
            </w:r>
          </w:p>
        </w:tc>
        <w:tc>
          <w:tcPr>
            <w:tcW w:w="2016" w:type="dxa"/>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0</w:t>
            </w:r>
          </w:p>
        </w:tc>
        <w:tc>
          <w:tcPr>
            <w:tcW w:w="201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w:t>
            </w:r>
          </w:p>
        </w:tc>
        <w:tc>
          <w:tcPr>
            <w:tcW w:w="1813"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总石油烃</w:t>
            </w:r>
          </w:p>
        </w:tc>
        <w:tc>
          <w:tcPr>
            <w:tcW w:w="1956"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1000</w:t>
            </w:r>
          </w:p>
        </w:tc>
        <w:tc>
          <w:tcPr>
            <w:tcW w:w="2016" w:type="dxa"/>
            <w:shd w:val="clear" w:color="auto" w:fill="auto"/>
            <w:vAlign w:val="center"/>
          </w:tcPr>
          <w:p>
            <w:pPr>
              <w:spacing w:line="240" w:lineRule="exact"/>
              <w:jc w:val="center"/>
              <w:rPr>
                <w:rFonts w:ascii="Times New Roman" w:hAnsi="Times New Roman" w:eastAsia="宋体" w:cs="Times New Roman"/>
                <w:szCs w:val="21"/>
              </w:rPr>
            </w:pPr>
          </w:p>
        </w:tc>
        <w:tc>
          <w:tcPr>
            <w:tcW w:w="2016" w:type="dxa"/>
            <w:vAlign w:val="center"/>
          </w:tcPr>
          <w:p>
            <w:pPr>
              <w:spacing w:line="240" w:lineRule="exact"/>
              <w:jc w:val="center"/>
              <w:rPr>
                <w:rFonts w:ascii="Times New Roman" w:hAnsi="Times New Roman" w:eastAsia="宋体" w:cs="Times New Roman"/>
                <w:szCs w:val="21"/>
              </w:rPr>
            </w:pPr>
          </w:p>
        </w:tc>
      </w:tr>
    </w:tbl>
    <w:p>
      <w:pPr>
        <w:ind w:firstLine="361" w:firstLineChars="200"/>
        <w:rPr>
          <w:rFonts w:ascii="Times New Roman" w:hAnsi="Times New Roman" w:eastAsia="宋体" w:cs="Times New Roman"/>
          <w:sz w:val="18"/>
          <w:szCs w:val="18"/>
        </w:rPr>
      </w:pPr>
      <w:r>
        <w:rPr>
          <w:rFonts w:ascii="Times New Roman" w:hAnsi="Times New Roman" w:eastAsia="宋体" w:cs="Times New Roman"/>
          <w:b/>
          <w:kern w:val="0"/>
          <w:sz w:val="18"/>
          <w:szCs w:val="18"/>
        </w:rPr>
        <w:t>注:铬和砷适用于阳离子交换量&gt;5cml(+)/kg的土壤，若≤5cml(+)/kg，标准值为表内数值的半数。总石油烃执行《展览会用地土壤环境质量评价标准（暂行）》（HJ350-2007）A级标准。</w:t>
      </w:r>
    </w:p>
    <w:p>
      <w:pPr>
        <w:spacing w:line="480" w:lineRule="exact"/>
        <w:ind w:firstLine="480" w:firstLineChars="200"/>
        <w:rPr>
          <w:rFonts w:ascii="Times New Roman" w:hAnsi="Times New Roman" w:eastAsia="黑体" w:cs="Times New Roman"/>
          <w:sz w:val="24"/>
        </w:rPr>
      </w:pPr>
      <w:r>
        <w:rPr>
          <w:rFonts w:ascii="Times New Roman" w:hAnsi="Times New Roman" w:eastAsia="黑体" w:cs="Times New Roman"/>
          <w:sz w:val="24"/>
        </w:rPr>
        <w:t xml:space="preserve">表2.2-5         </w:t>
      </w:r>
      <w:r>
        <w:rPr>
          <w:rFonts w:hint="eastAsia" w:ascii="Times New Roman" w:hAnsi="Times New Roman" w:eastAsia="黑体" w:cs="Times New Roman"/>
          <w:sz w:val="24"/>
        </w:rPr>
        <w:t>变更后项目区域土壤</w:t>
      </w:r>
      <w:r>
        <w:rPr>
          <w:rFonts w:ascii="Times New Roman" w:hAnsi="Times New Roman" w:eastAsia="黑体" w:cs="Times New Roman"/>
          <w:sz w:val="24"/>
        </w:rPr>
        <w:t>环境质量标准一览表</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92"/>
        <w:gridCol w:w="1276"/>
        <w:gridCol w:w="992"/>
        <w:gridCol w:w="1559"/>
        <w:gridCol w:w="1418"/>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2268" w:type="dxa"/>
            <w:gridSpan w:val="2"/>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污染物项目</w:t>
            </w:r>
          </w:p>
        </w:tc>
        <w:tc>
          <w:tcPr>
            <w:tcW w:w="5040" w:type="dxa"/>
            <w:gridSpan w:val="4"/>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风险筛选值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continue"/>
            <w:vAlign w:val="center"/>
          </w:tcPr>
          <w:p>
            <w:pPr>
              <w:spacing w:line="240" w:lineRule="exact"/>
              <w:jc w:val="center"/>
              <w:rPr>
                <w:rFonts w:ascii="Times New Roman" w:hAnsi="Times New Roman" w:eastAsia="宋体" w:cs="Times New Roman"/>
                <w:szCs w:val="21"/>
              </w:rPr>
            </w:pPr>
          </w:p>
        </w:tc>
        <w:tc>
          <w:tcPr>
            <w:tcW w:w="2268" w:type="dxa"/>
            <w:gridSpan w:val="2"/>
            <w:vMerge w:val="continue"/>
            <w:vAlign w:val="center"/>
          </w:tcPr>
          <w:p>
            <w:pPr>
              <w:spacing w:line="240" w:lineRule="exact"/>
              <w:jc w:val="center"/>
              <w:rPr>
                <w:rFonts w:ascii="Times New Roman" w:hAnsi="Times New Roman" w:eastAsia="宋体" w:cs="Times New Roman"/>
                <w:szCs w:val="21"/>
              </w:rPr>
            </w:pPr>
          </w:p>
        </w:tc>
        <w:tc>
          <w:tcPr>
            <w:tcW w:w="99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pH≤5.5</w:t>
            </w:r>
          </w:p>
        </w:tc>
        <w:tc>
          <w:tcPr>
            <w:tcW w:w="1559"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5.5＜</w:t>
            </w:r>
            <w:r>
              <w:rPr>
                <w:rFonts w:ascii="Times New Roman" w:hAnsi="Times New Roman" w:eastAsia="宋体" w:cs="Times New Roman"/>
                <w:szCs w:val="21"/>
              </w:rPr>
              <w:t>pH≤6.5</w:t>
            </w:r>
          </w:p>
        </w:tc>
        <w:tc>
          <w:tcPr>
            <w:tcW w:w="1418"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.5＜</w:t>
            </w:r>
            <w:r>
              <w:rPr>
                <w:rFonts w:ascii="Times New Roman" w:hAnsi="Times New Roman" w:eastAsia="宋体" w:cs="Times New Roman"/>
                <w:szCs w:val="21"/>
              </w:rPr>
              <w:t>pH≤7.5</w:t>
            </w:r>
          </w:p>
        </w:tc>
        <w:tc>
          <w:tcPr>
            <w:tcW w:w="107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pH</w:t>
            </w:r>
            <w:r>
              <w:rPr>
                <w:rFonts w:hint="eastAsia" w:ascii="Times New Roman" w:hAnsi="Times New Roman" w:eastAsia="宋体" w:cs="Times New Roman"/>
                <w:szCs w:val="21"/>
              </w:rPr>
              <w:t>＞</w:t>
            </w:r>
            <w:r>
              <w:rPr>
                <w:rFonts w:ascii="Times New Roman" w:hAnsi="Times New Roman" w:eastAsia="宋体" w:cs="Times New Roman"/>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992"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镉</w:t>
            </w:r>
          </w:p>
        </w:tc>
        <w:tc>
          <w:tcPr>
            <w:tcW w:w="127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水田</w:t>
            </w:r>
          </w:p>
        </w:tc>
        <w:tc>
          <w:tcPr>
            <w:tcW w:w="99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0.3</w:t>
            </w:r>
          </w:p>
        </w:tc>
        <w:tc>
          <w:tcPr>
            <w:tcW w:w="1559"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0.4</w:t>
            </w:r>
          </w:p>
        </w:tc>
        <w:tc>
          <w:tcPr>
            <w:tcW w:w="1418"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0.6</w:t>
            </w:r>
          </w:p>
        </w:tc>
        <w:tc>
          <w:tcPr>
            <w:tcW w:w="1071"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continue"/>
            <w:vAlign w:val="center"/>
          </w:tcPr>
          <w:p>
            <w:pPr>
              <w:spacing w:line="240" w:lineRule="exact"/>
              <w:jc w:val="center"/>
              <w:rPr>
                <w:rFonts w:ascii="Times New Roman" w:hAnsi="Times New Roman" w:eastAsia="宋体" w:cs="Times New Roman"/>
                <w:szCs w:val="21"/>
              </w:rPr>
            </w:pPr>
          </w:p>
        </w:tc>
        <w:tc>
          <w:tcPr>
            <w:tcW w:w="992" w:type="dxa"/>
            <w:vMerge w:val="continue"/>
            <w:vAlign w:val="center"/>
          </w:tcPr>
          <w:p>
            <w:pPr>
              <w:spacing w:line="240" w:lineRule="exact"/>
              <w:jc w:val="center"/>
              <w:rPr>
                <w:rFonts w:ascii="Times New Roman" w:hAnsi="Times New Roman" w:eastAsia="宋体" w:cs="Times New Roman"/>
                <w:szCs w:val="21"/>
              </w:rPr>
            </w:pPr>
          </w:p>
        </w:tc>
        <w:tc>
          <w:tcPr>
            <w:tcW w:w="127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其他</w:t>
            </w:r>
          </w:p>
        </w:tc>
        <w:tc>
          <w:tcPr>
            <w:tcW w:w="99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0.3</w:t>
            </w:r>
          </w:p>
        </w:tc>
        <w:tc>
          <w:tcPr>
            <w:tcW w:w="1559"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0.3</w:t>
            </w:r>
          </w:p>
        </w:tc>
        <w:tc>
          <w:tcPr>
            <w:tcW w:w="1418"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0.3</w:t>
            </w:r>
          </w:p>
        </w:tc>
        <w:tc>
          <w:tcPr>
            <w:tcW w:w="1071"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992"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汞</w:t>
            </w:r>
          </w:p>
        </w:tc>
        <w:tc>
          <w:tcPr>
            <w:tcW w:w="127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水田</w:t>
            </w:r>
          </w:p>
        </w:tc>
        <w:tc>
          <w:tcPr>
            <w:tcW w:w="99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0.5</w:t>
            </w:r>
          </w:p>
        </w:tc>
        <w:tc>
          <w:tcPr>
            <w:tcW w:w="1559"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0.5</w:t>
            </w:r>
          </w:p>
        </w:tc>
        <w:tc>
          <w:tcPr>
            <w:tcW w:w="1418"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0.6</w:t>
            </w:r>
          </w:p>
        </w:tc>
        <w:tc>
          <w:tcPr>
            <w:tcW w:w="1071"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continue"/>
            <w:vAlign w:val="center"/>
          </w:tcPr>
          <w:p>
            <w:pPr>
              <w:spacing w:line="240" w:lineRule="exact"/>
              <w:jc w:val="center"/>
              <w:rPr>
                <w:rFonts w:ascii="Times New Roman" w:hAnsi="Times New Roman" w:eastAsia="宋体" w:cs="Times New Roman"/>
                <w:szCs w:val="21"/>
              </w:rPr>
            </w:pPr>
          </w:p>
        </w:tc>
        <w:tc>
          <w:tcPr>
            <w:tcW w:w="992" w:type="dxa"/>
            <w:vMerge w:val="continue"/>
            <w:vAlign w:val="center"/>
          </w:tcPr>
          <w:p>
            <w:pPr>
              <w:spacing w:line="240" w:lineRule="exact"/>
              <w:jc w:val="center"/>
              <w:rPr>
                <w:rFonts w:ascii="Times New Roman" w:hAnsi="Times New Roman" w:eastAsia="宋体" w:cs="Times New Roman"/>
                <w:szCs w:val="21"/>
              </w:rPr>
            </w:pPr>
          </w:p>
        </w:tc>
        <w:tc>
          <w:tcPr>
            <w:tcW w:w="127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其他</w:t>
            </w:r>
          </w:p>
        </w:tc>
        <w:tc>
          <w:tcPr>
            <w:tcW w:w="99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1.3</w:t>
            </w:r>
          </w:p>
        </w:tc>
        <w:tc>
          <w:tcPr>
            <w:tcW w:w="1559"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1.8</w:t>
            </w:r>
          </w:p>
        </w:tc>
        <w:tc>
          <w:tcPr>
            <w:tcW w:w="1418"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4</w:t>
            </w:r>
          </w:p>
        </w:tc>
        <w:tc>
          <w:tcPr>
            <w:tcW w:w="1071"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992"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砷</w:t>
            </w:r>
          </w:p>
        </w:tc>
        <w:tc>
          <w:tcPr>
            <w:tcW w:w="127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水田</w:t>
            </w:r>
          </w:p>
        </w:tc>
        <w:tc>
          <w:tcPr>
            <w:tcW w:w="99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30</w:t>
            </w:r>
          </w:p>
        </w:tc>
        <w:tc>
          <w:tcPr>
            <w:tcW w:w="1559"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30</w:t>
            </w:r>
          </w:p>
        </w:tc>
        <w:tc>
          <w:tcPr>
            <w:tcW w:w="1418"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25</w:t>
            </w:r>
          </w:p>
        </w:tc>
        <w:tc>
          <w:tcPr>
            <w:tcW w:w="1071"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continue"/>
            <w:vAlign w:val="center"/>
          </w:tcPr>
          <w:p>
            <w:pPr>
              <w:spacing w:line="240" w:lineRule="exact"/>
              <w:jc w:val="center"/>
              <w:rPr>
                <w:rFonts w:ascii="Times New Roman" w:hAnsi="Times New Roman" w:eastAsia="宋体" w:cs="Times New Roman"/>
                <w:szCs w:val="21"/>
              </w:rPr>
            </w:pPr>
          </w:p>
        </w:tc>
        <w:tc>
          <w:tcPr>
            <w:tcW w:w="992" w:type="dxa"/>
            <w:vMerge w:val="continue"/>
            <w:vAlign w:val="center"/>
          </w:tcPr>
          <w:p>
            <w:pPr>
              <w:spacing w:line="240" w:lineRule="exact"/>
              <w:jc w:val="center"/>
              <w:rPr>
                <w:rFonts w:ascii="Times New Roman" w:hAnsi="Times New Roman" w:eastAsia="宋体" w:cs="Times New Roman"/>
                <w:szCs w:val="21"/>
              </w:rPr>
            </w:pPr>
          </w:p>
        </w:tc>
        <w:tc>
          <w:tcPr>
            <w:tcW w:w="127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其他</w:t>
            </w:r>
          </w:p>
        </w:tc>
        <w:tc>
          <w:tcPr>
            <w:tcW w:w="99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40</w:t>
            </w:r>
          </w:p>
        </w:tc>
        <w:tc>
          <w:tcPr>
            <w:tcW w:w="1559"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40</w:t>
            </w:r>
          </w:p>
        </w:tc>
        <w:tc>
          <w:tcPr>
            <w:tcW w:w="1418"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30</w:t>
            </w:r>
          </w:p>
        </w:tc>
        <w:tc>
          <w:tcPr>
            <w:tcW w:w="1071"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992"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铅</w:t>
            </w:r>
          </w:p>
        </w:tc>
        <w:tc>
          <w:tcPr>
            <w:tcW w:w="127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水田</w:t>
            </w:r>
          </w:p>
        </w:tc>
        <w:tc>
          <w:tcPr>
            <w:tcW w:w="99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80</w:t>
            </w:r>
          </w:p>
        </w:tc>
        <w:tc>
          <w:tcPr>
            <w:tcW w:w="1559"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100</w:t>
            </w:r>
          </w:p>
        </w:tc>
        <w:tc>
          <w:tcPr>
            <w:tcW w:w="1418"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140</w:t>
            </w:r>
          </w:p>
        </w:tc>
        <w:tc>
          <w:tcPr>
            <w:tcW w:w="1071"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continue"/>
            <w:vAlign w:val="center"/>
          </w:tcPr>
          <w:p>
            <w:pPr>
              <w:spacing w:line="240" w:lineRule="exact"/>
              <w:jc w:val="center"/>
              <w:rPr>
                <w:rFonts w:ascii="Times New Roman" w:hAnsi="Times New Roman" w:eastAsia="宋体" w:cs="Times New Roman"/>
                <w:szCs w:val="21"/>
              </w:rPr>
            </w:pPr>
          </w:p>
        </w:tc>
        <w:tc>
          <w:tcPr>
            <w:tcW w:w="992" w:type="dxa"/>
            <w:vMerge w:val="continue"/>
            <w:vAlign w:val="center"/>
          </w:tcPr>
          <w:p>
            <w:pPr>
              <w:spacing w:line="240" w:lineRule="exact"/>
              <w:jc w:val="center"/>
              <w:rPr>
                <w:rFonts w:ascii="Times New Roman" w:hAnsi="Times New Roman" w:eastAsia="宋体" w:cs="Times New Roman"/>
                <w:szCs w:val="21"/>
              </w:rPr>
            </w:pPr>
          </w:p>
        </w:tc>
        <w:tc>
          <w:tcPr>
            <w:tcW w:w="127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其他</w:t>
            </w:r>
          </w:p>
        </w:tc>
        <w:tc>
          <w:tcPr>
            <w:tcW w:w="99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70</w:t>
            </w:r>
          </w:p>
        </w:tc>
        <w:tc>
          <w:tcPr>
            <w:tcW w:w="1559"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90</w:t>
            </w:r>
          </w:p>
        </w:tc>
        <w:tc>
          <w:tcPr>
            <w:tcW w:w="1418"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120</w:t>
            </w:r>
          </w:p>
        </w:tc>
        <w:tc>
          <w:tcPr>
            <w:tcW w:w="1071"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992"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铬</w:t>
            </w:r>
          </w:p>
        </w:tc>
        <w:tc>
          <w:tcPr>
            <w:tcW w:w="127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水田</w:t>
            </w:r>
          </w:p>
        </w:tc>
        <w:tc>
          <w:tcPr>
            <w:tcW w:w="99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250</w:t>
            </w:r>
          </w:p>
        </w:tc>
        <w:tc>
          <w:tcPr>
            <w:tcW w:w="1559"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250</w:t>
            </w:r>
          </w:p>
        </w:tc>
        <w:tc>
          <w:tcPr>
            <w:tcW w:w="1418"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300</w:t>
            </w:r>
          </w:p>
        </w:tc>
        <w:tc>
          <w:tcPr>
            <w:tcW w:w="1071"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continue"/>
            <w:vAlign w:val="center"/>
          </w:tcPr>
          <w:p>
            <w:pPr>
              <w:spacing w:line="240" w:lineRule="exact"/>
              <w:jc w:val="center"/>
              <w:rPr>
                <w:rFonts w:ascii="Times New Roman" w:hAnsi="Times New Roman" w:eastAsia="宋体" w:cs="Times New Roman"/>
                <w:szCs w:val="21"/>
              </w:rPr>
            </w:pPr>
          </w:p>
        </w:tc>
        <w:tc>
          <w:tcPr>
            <w:tcW w:w="992" w:type="dxa"/>
            <w:vMerge w:val="continue"/>
            <w:vAlign w:val="center"/>
          </w:tcPr>
          <w:p>
            <w:pPr>
              <w:spacing w:line="240" w:lineRule="exact"/>
              <w:jc w:val="center"/>
              <w:rPr>
                <w:rFonts w:ascii="Times New Roman" w:hAnsi="Times New Roman" w:eastAsia="宋体" w:cs="Times New Roman"/>
                <w:szCs w:val="21"/>
              </w:rPr>
            </w:pPr>
          </w:p>
        </w:tc>
        <w:tc>
          <w:tcPr>
            <w:tcW w:w="127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其他</w:t>
            </w:r>
          </w:p>
        </w:tc>
        <w:tc>
          <w:tcPr>
            <w:tcW w:w="99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150</w:t>
            </w:r>
          </w:p>
        </w:tc>
        <w:tc>
          <w:tcPr>
            <w:tcW w:w="1559"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150</w:t>
            </w:r>
          </w:p>
        </w:tc>
        <w:tc>
          <w:tcPr>
            <w:tcW w:w="1418"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200</w:t>
            </w:r>
          </w:p>
        </w:tc>
        <w:tc>
          <w:tcPr>
            <w:tcW w:w="1071"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992"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铜</w:t>
            </w:r>
          </w:p>
        </w:tc>
        <w:tc>
          <w:tcPr>
            <w:tcW w:w="127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果园</w:t>
            </w:r>
          </w:p>
        </w:tc>
        <w:tc>
          <w:tcPr>
            <w:tcW w:w="99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150</w:t>
            </w:r>
          </w:p>
        </w:tc>
        <w:tc>
          <w:tcPr>
            <w:tcW w:w="1559"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150</w:t>
            </w:r>
          </w:p>
        </w:tc>
        <w:tc>
          <w:tcPr>
            <w:tcW w:w="1418"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200</w:t>
            </w:r>
          </w:p>
        </w:tc>
        <w:tc>
          <w:tcPr>
            <w:tcW w:w="1071"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0</w:t>
            </w:r>
            <w:r>
              <w:rPr>
                <w:rFonts w:hint="eastAsia" w:ascii="Times New Roman" w:hAnsi="Times New Roman"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Merge w:val="continue"/>
            <w:vAlign w:val="center"/>
          </w:tcPr>
          <w:p>
            <w:pPr>
              <w:spacing w:line="240" w:lineRule="exact"/>
              <w:jc w:val="center"/>
              <w:rPr>
                <w:rFonts w:ascii="Times New Roman" w:hAnsi="Times New Roman" w:eastAsia="宋体" w:cs="Times New Roman"/>
                <w:szCs w:val="21"/>
              </w:rPr>
            </w:pPr>
          </w:p>
        </w:tc>
        <w:tc>
          <w:tcPr>
            <w:tcW w:w="992" w:type="dxa"/>
            <w:vMerge w:val="continue"/>
            <w:vAlign w:val="center"/>
          </w:tcPr>
          <w:p>
            <w:pPr>
              <w:spacing w:line="240" w:lineRule="exact"/>
              <w:jc w:val="center"/>
              <w:rPr>
                <w:rFonts w:ascii="Times New Roman" w:hAnsi="Times New Roman" w:eastAsia="宋体" w:cs="Times New Roman"/>
                <w:szCs w:val="21"/>
              </w:rPr>
            </w:pPr>
          </w:p>
        </w:tc>
        <w:tc>
          <w:tcPr>
            <w:tcW w:w="127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其他</w:t>
            </w:r>
          </w:p>
        </w:tc>
        <w:tc>
          <w:tcPr>
            <w:tcW w:w="99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50</w:t>
            </w:r>
          </w:p>
        </w:tc>
        <w:tc>
          <w:tcPr>
            <w:tcW w:w="1559"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50</w:t>
            </w:r>
          </w:p>
        </w:tc>
        <w:tc>
          <w:tcPr>
            <w:tcW w:w="1418"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100</w:t>
            </w:r>
          </w:p>
        </w:tc>
        <w:tc>
          <w:tcPr>
            <w:tcW w:w="1071"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w:t>
            </w:r>
          </w:p>
        </w:tc>
        <w:tc>
          <w:tcPr>
            <w:tcW w:w="2268" w:type="dxa"/>
            <w:gridSpan w:val="2"/>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镍</w:t>
            </w:r>
          </w:p>
        </w:tc>
        <w:tc>
          <w:tcPr>
            <w:tcW w:w="99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60</w:t>
            </w:r>
          </w:p>
        </w:tc>
        <w:tc>
          <w:tcPr>
            <w:tcW w:w="1559"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70</w:t>
            </w:r>
          </w:p>
        </w:tc>
        <w:tc>
          <w:tcPr>
            <w:tcW w:w="1418"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100</w:t>
            </w:r>
          </w:p>
        </w:tc>
        <w:tc>
          <w:tcPr>
            <w:tcW w:w="1071"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2268" w:type="dxa"/>
            <w:gridSpan w:val="2"/>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锌</w:t>
            </w:r>
          </w:p>
        </w:tc>
        <w:tc>
          <w:tcPr>
            <w:tcW w:w="99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200</w:t>
            </w:r>
          </w:p>
        </w:tc>
        <w:tc>
          <w:tcPr>
            <w:tcW w:w="1559"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200</w:t>
            </w:r>
          </w:p>
        </w:tc>
        <w:tc>
          <w:tcPr>
            <w:tcW w:w="1418"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250</w:t>
            </w:r>
          </w:p>
        </w:tc>
        <w:tc>
          <w:tcPr>
            <w:tcW w:w="1071"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7"/>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注：</w:t>
            </w:r>
            <w:r>
              <w:rPr>
                <w:rFonts w:hint="eastAsia" w:ascii="宋体" w:hAnsi="宋体" w:eastAsia="宋体" w:cs="宋体"/>
                <w:szCs w:val="21"/>
                <w:lang w:eastAsia="ja-JP"/>
              </w:rPr>
              <w:t>①</w:t>
            </w:r>
            <w:r>
              <w:rPr>
                <w:rFonts w:ascii="Times New Roman" w:hAnsi="Times New Roman" w:eastAsia="宋体" w:cs="Times New Roman"/>
                <w:szCs w:val="21"/>
              </w:rPr>
              <w:t>重金属和类金属砷均按元素总量计。</w:t>
            </w:r>
          </w:p>
          <w:p>
            <w:pPr>
              <w:spacing w:line="240" w:lineRule="exact"/>
              <w:ind w:firstLine="420" w:firstLineChars="200"/>
              <w:rPr>
                <w:rFonts w:ascii="宋体" w:hAnsi="宋体" w:cs="宋体"/>
                <w:szCs w:val="21"/>
              </w:rPr>
            </w:pPr>
            <w:r>
              <w:rPr>
                <w:rFonts w:hint="eastAsia" w:ascii="宋体" w:hAnsi="宋体" w:eastAsia="宋体" w:cs="宋体"/>
                <w:szCs w:val="21"/>
              </w:rPr>
              <w:t>②</w:t>
            </w:r>
            <w:r>
              <w:rPr>
                <w:rFonts w:ascii="Times New Roman" w:hAnsi="Times New Roman" w:eastAsia="宋体" w:cs="Times New Roman"/>
                <w:szCs w:val="21"/>
              </w:rPr>
              <w:t>对于水旱轮作地，采用其中较严格的风险筛选值。</w:t>
            </w:r>
          </w:p>
        </w:tc>
      </w:tr>
    </w:tbl>
    <w:p>
      <w:pPr>
        <w:pStyle w:val="33"/>
        <w:rPr>
          <w:color w:val="auto"/>
        </w:rPr>
      </w:pPr>
      <w:r>
        <w:rPr>
          <w:rFonts w:hint="eastAsia"/>
          <w:color w:val="auto"/>
        </w:rPr>
        <w:t>2.2.1.5声环境</w:t>
      </w:r>
    </w:p>
    <w:p>
      <w:pPr>
        <w:spacing w:line="480" w:lineRule="exact"/>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本项目变更前后声环境质量标准与原环评一致。</w:t>
      </w:r>
      <w:r>
        <w:rPr>
          <w:rFonts w:hint="eastAsia" w:ascii="Times New Roman" w:hAnsi="Times New Roman" w:eastAsia="宋体" w:cs="Times New Roman"/>
          <w:sz w:val="24"/>
          <w:szCs w:val="24"/>
        </w:rPr>
        <w:t>根据《声环境质量标准》（</w:t>
      </w:r>
      <w:r>
        <w:rPr>
          <w:rFonts w:ascii="Times New Roman" w:hAnsi="Times New Roman" w:eastAsia="宋体" w:cs="Times New Roman"/>
          <w:sz w:val="24"/>
          <w:szCs w:val="24"/>
        </w:rPr>
        <w:t>GB3096-2008</w:t>
      </w:r>
      <w:r>
        <w:rPr>
          <w:rFonts w:hint="eastAsia" w:ascii="Times New Roman" w:hAnsi="Times New Roman" w:eastAsia="宋体" w:cs="Times New Roman"/>
          <w:sz w:val="24"/>
          <w:szCs w:val="24"/>
        </w:rPr>
        <w:t>），本项目所处声环境功能区属于</w:t>
      </w:r>
      <w:r>
        <w:rPr>
          <w:rFonts w:ascii="Times New Roman" w:hAnsi="Times New Roman" w:eastAsia="宋体" w:cs="Times New Roman"/>
          <w:sz w:val="24"/>
          <w:szCs w:val="24"/>
        </w:rPr>
        <w:t>“3</w:t>
      </w:r>
      <w:r>
        <w:rPr>
          <w:rFonts w:hint="eastAsia" w:ascii="Times New Roman" w:hAnsi="Times New Roman" w:eastAsia="宋体" w:cs="Times New Roman"/>
          <w:sz w:val="24"/>
          <w:szCs w:val="24"/>
        </w:rPr>
        <w:t>类声环境功能区：指以工业生产、仓储物流为主要功能，需要防止工业噪声对周围环境产生严重影响的区域</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pPr>
        <w:spacing w:before="80" w:after="80" w:line="520" w:lineRule="exact"/>
        <w:outlineLvl w:val="2"/>
        <w:rPr>
          <w:rFonts w:ascii="Times New Roman" w:hAnsi="Times New Roman" w:eastAsia="楷体" w:cs="Times New Roman"/>
          <w:sz w:val="28"/>
          <w:szCs w:val="28"/>
        </w:rPr>
      </w:pPr>
      <w:bookmarkStart w:id="16" w:name="_Toc8391525"/>
      <w:r>
        <w:rPr>
          <w:rFonts w:hint="eastAsia" w:ascii="Times New Roman" w:hAnsi="Times New Roman" w:eastAsia="楷体" w:cs="Times New Roman"/>
          <w:sz w:val="28"/>
          <w:szCs w:val="28"/>
        </w:rPr>
        <w:t>2.2.2</w:t>
      </w:r>
      <w:r>
        <w:rPr>
          <w:rFonts w:ascii="Times New Roman" w:hAnsi="Times New Roman" w:eastAsia="楷体" w:cs="Times New Roman"/>
          <w:sz w:val="28"/>
          <w:szCs w:val="28"/>
        </w:rPr>
        <w:t xml:space="preserve"> </w:t>
      </w:r>
      <w:r>
        <w:rPr>
          <w:rFonts w:hint="eastAsia" w:ascii="Times New Roman" w:hAnsi="Times New Roman" w:eastAsia="楷体" w:cs="Times New Roman"/>
          <w:sz w:val="28"/>
          <w:szCs w:val="28"/>
        </w:rPr>
        <w:t>污染物控制标准</w:t>
      </w:r>
      <w:bookmarkEnd w:id="16"/>
    </w:p>
    <w:p>
      <w:pPr>
        <w:spacing w:line="48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本项目变更前后各污染物控制标准与原环评一致。</w:t>
      </w:r>
    </w:p>
    <w:p>
      <w:pPr>
        <w:spacing w:line="480" w:lineRule="exact"/>
        <w:ind w:firstLine="480" w:firstLineChars="200"/>
        <w:rPr>
          <w:rFonts w:ascii="Times New Roman" w:hAnsi="Times New Roman" w:eastAsia="黑体" w:cs="Times New Roman"/>
          <w:sz w:val="24"/>
        </w:rPr>
      </w:pPr>
      <w:r>
        <w:rPr>
          <w:rFonts w:hint="eastAsia" w:ascii="Times New Roman" w:hAnsi="Times New Roman" w:eastAsia="黑体" w:cs="Times New Roman"/>
          <w:sz w:val="24"/>
        </w:rPr>
        <w:t>表2.2-5          评价执行的污染物排放标准一览表</w:t>
      </w:r>
    </w:p>
    <w:tbl>
      <w:tblPr>
        <w:tblStyle w:val="19"/>
        <w:tblW w:w="9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2352"/>
        <w:gridCol w:w="1775"/>
        <w:gridCol w:w="934"/>
        <w:gridCol w:w="1209"/>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879" w:type="dxa"/>
            <w:vAlign w:val="center"/>
          </w:tcPr>
          <w:p>
            <w:pPr>
              <w:pStyle w:val="47"/>
            </w:pPr>
            <w:r>
              <w:rPr>
                <w:rFonts w:hint="eastAsia"/>
              </w:rPr>
              <w:t>污染物</w:t>
            </w:r>
          </w:p>
        </w:tc>
        <w:tc>
          <w:tcPr>
            <w:tcW w:w="4127" w:type="dxa"/>
            <w:gridSpan w:val="2"/>
            <w:vAlign w:val="center"/>
          </w:tcPr>
          <w:p>
            <w:pPr>
              <w:pStyle w:val="47"/>
            </w:pPr>
            <w:r>
              <w:rPr>
                <w:rFonts w:hint="eastAsia"/>
              </w:rPr>
              <w:t>标准名称及级</w:t>
            </w:r>
            <w:r>
              <w:t>(类)别</w:t>
            </w:r>
          </w:p>
        </w:tc>
        <w:tc>
          <w:tcPr>
            <w:tcW w:w="2143" w:type="dxa"/>
            <w:gridSpan w:val="2"/>
            <w:vAlign w:val="center"/>
          </w:tcPr>
          <w:p>
            <w:pPr>
              <w:pStyle w:val="47"/>
            </w:pPr>
            <w:r>
              <w:rPr>
                <w:rFonts w:hint="eastAsia"/>
              </w:rPr>
              <w:t>污染因子</w:t>
            </w:r>
          </w:p>
        </w:tc>
        <w:tc>
          <w:tcPr>
            <w:tcW w:w="1978" w:type="dxa"/>
            <w:vAlign w:val="center"/>
          </w:tcPr>
          <w:p>
            <w:pPr>
              <w:pStyle w:val="47"/>
            </w:pPr>
            <w:r>
              <w:rPr>
                <w:rFonts w:hint="eastAsia"/>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879" w:type="dxa"/>
            <w:vMerge w:val="restart"/>
            <w:vAlign w:val="center"/>
          </w:tcPr>
          <w:p>
            <w:pPr>
              <w:pStyle w:val="47"/>
            </w:pPr>
            <w:r>
              <w:rPr>
                <w:rFonts w:hint="eastAsia"/>
              </w:rPr>
              <w:t>废气</w:t>
            </w:r>
          </w:p>
        </w:tc>
        <w:tc>
          <w:tcPr>
            <w:tcW w:w="4127" w:type="dxa"/>
            <w:gridSpan w:val="2"/>
            <w:vMerge w:val="restart"/>
            <w:vAlign w:val="center"/>
          </w:tcPr>
          <w:p>
            <w:pPr>
              <w:pStyle w:val="47"/>
            </w:pPr>
            <w:r>
              <w:rPr>
                <w:rFonts w:hint="eastAsia"/>
              </w:rPr>
              <w:t>《锅炉大气污染物排放标准》</w:t>
            </w:r>
          </w:p>
          <w:p>
            <w:pPr>
              <w:pStyle w:val="47"/>
            </w:pPr>
            <w:r>
              <w:rPr>
                <w:rFonts w:hint="eastAsia"/>
              </w:rPr>
              <w:t>（</w:t>
            </w:r>
            <w:r>
              <w:t>GB13271-2014）</w:t>
            </w:r>
            <w:r>
              <w:rPr>
                <w:rFonts w:hint="eastAsia"/>
              </w:rPr>
              <w:t>表3</w:t>
            </w:r>
          </w:p>
          <w:p>
            <w:pPr>
              <w:pStyle w:val="47"/>
            </w:pPr>
            <w:r>
              <w:rPr>
                <w:rFonts w:hint="eastAsia"/>
              </w:rPr>
              <w:t>大气污染物特别排放限值</w:t>
            </w:r>
            <w:r>
              <w:t>中</w:t>
            </w:r>
          </w:p>
          <w:p>
            <w:pPr>
              <w:pStyle w:val="47"/>
            </w:pPr>
            <w:r>
              <w:t>燃气锅炉排放标</w:t>
            </w:r>
            <w:r>
              <w:rPr>
                <w:rFonts w:hint="eastAsia"/>
              </w:rPr>
              <w:t>准</w:t>
            </w:r>
          </w:p>
        </w:tc>
        <w:tc>
          <w:tcPr>
            <w:tcW w:w="2143" w:type="dxa"/>
            <w:gridSpan w:val="2"/>
            <w:vAlign w:val="center"/>
          </w:tcPr>
          <w:p>
            <w:pPr>
              <w:pStyle w:val="47"/>
            </w:pPr>
            <w:r>
              <w:rPr>
                <w:rFonts w:hint="eastAsia"/>
              </w:rPr>
              <w:t>颗粒物</w:t>
            </w:r>
          </w:p>
        </w:tc>
        <w:tc>
          <w:tcPr>
            <w:tcW w:w="1978" w:type="dxa"/>
            <w:vAlign w:val="center"/>
          </w:tcPr>
          <w:p>
            <w:pPr>
              <w:pStyle w:val="47"/>
            </w:pPr>
            <w:r>
              <w:rPr>
                <w:rFonts w:hint="eastAsia"/>
              </w:rPr>
              <w:t>20</w:t>
            </w:r>
            <w:r>
              <w:t>mg/</w:t>
            </w:r>
            <w:r>
              <w:rPr>
                <w:rFonts w:hint="eastAsia"/>
              </w:rPr>
              <w:t>m</w:t>
            </w:r>
            <w:r>
              <w:rPr>
                <w:rFonts w:hint="eastAsia"/>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879" w:type="dxa"/>
            <w:vMerge w:val="continue"/>
            <w:vAlign w:val="center"/>
          </w:tcPr>
          <w:p>
            <w:pPr>
              <w:pStyle w:val="47"/>
            </w:pPr>
          </w:p>
        </w:tc>
        <w:tc>
          <w:tcPr>
            <w:tcW w:w="4127" w:type="dxa"/>
            <w:gridSpan w:val="2"/>
            <w:vMerge w:val="continue"/>
            <w:vAlign w:val="center"/>
          </w:tcPr>
          <w:p>
            <w:pPr>
              <w:pStyle w:val="47"/>
            </w:pPr>
          </w:p>
        </w:tc>
        <w:tc>
          <w:tcPr>
            <w:tcW w:w="2143" w:type="dxa"/>
            <w:gridSpan w:val="2"/>
            <w:vAlign w:val="center"/>
          </w:tcPr>
          <w:p>
            <w:pPr>
              <w:pStyle w:val="47"/>
            </w:pPr>
            <w:r>
              <w:rPr>
                <w:rFonts w:hint="eastAsia"/>
              </w:rPr>
              <w:t>SO</w:t>
            </w:r>
            <w:r>
              <w:rPr>
                <w:rFonts w:hint="eastAsia"/>
                <w:vertAlign w:val="subscript"/>
              </w:rPr>
              <w:t>2</w:t>
            </w:r>
          </w:p>
        </w:tc>
        <w:tc>
          <w:tcPr>
            <w:tcW w:w="1978" w:type="dxa"/>
            <w:vAlign w:val="center"/>
          </w:tcPr>
          <w:p>
            <w:pPr>
              <w:pStyle w:val="47"/>
            </w:pPr>
            <w:r>
              <w:rPr>
                <w:rFonts w:hint="eastAsia"/>
              </w:rPr>
              <w:t>50</w:t>
            </w:r>
            <w:r>
              <w:t>mg/</w:t>
            </w:r>
            <w:r>
              <w:rPr>
                <w:rFonts w:hint="eastAsia"/>
              </w:rPr>
              <w:t>m</w:t>
            </w:r>
            <w:r>
              <w:rPr>
                <w:rFonts w:hint="eastAsia"/>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879" w:type="dxa"/>
            <w:vMerge w:val="continue"/>
            <w:vAlign w:val="center"/>
          </w:tcPr>
          <w:p>
            <w:pPr>
              <w:pStyle w:val="47"/>
            </w:pPr>
          </w:p>
        </w:tc>
        <w:tc>
          <w:tcPr>
            <w:tcW w:w="4127" w:type="dxa"/>
            <w:gridSpan w:val="2"/>
            <w:vMerge w:val="continue"/>
            <w:vAlign w:val="center"/>
          </w:tcPr>
          <w:p>
            <w:pPr>
              <w:pStyle w:val="47"/>
            </w:pPr>
          </w:p>
        </w:tc>
        <w:tc>
          <w:tcPr>
            <w:tcW w:w="2143" w:type="dxa"/>
            <w:gridSpan w:val="2"/>
            <w:vAlign w:val="center"/>
          </w:tcPr>
          <w:p>
            <w:pPr>
              <w:pStyle w:val="47"/>
            </w:pPr>
            <w:r>
              <w:rPr>
                <w:rFonts w:hint="eastAsia"/>
              </w:rPr>
              <w:t>NO</w:t>
            </w:r>
            <w:r>
              <w:rPr>
                <w:rFonts w:hint="eastAsia"/>
                <w:vertAlign w:val="subscript"/>
              </w:rPr>
              <w:t>x</w:t>
            </w:r>
          </w:p>
        </w:tc>
        <w:tc>
          <w:tcPr>
            <w:tcW w:w="1978" w:type="dxa"/>
            <w:vAlign w:val="center"/>
          </w:tcPr>
          <w:p>
            <w:pPr>
              <w:pStyle w:val="47"/>
            </w:pPr>
            <w:r>
              <w:rPr>
                <w:rFonts w:hint="eastAsia"/>
              </w:rPr>
              <w:t>150</w:t>
            </w:r>
            <w:r>
              <w:t>mg/</w:t>
            </w:r>
            <w:r>
              <w:rPr>
                <w:rFonts w:hint="eastAsia"/>
              </w:rPr>
              <w:t>m</w:t>
            </w:r>
            <w:r>
              <w:rPr>
                <w:rFonts w:hint="eastAsia"/>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5" w:hRule="atLeast"/>
          <w:jc w:val="center"/>
        </w:trPr>
        <w:tc>
          <w:tcPr>
            <w:tcW w:w="879" w:type="dxa"/>
            <w:vMerge w:val="continue"/>
            <w:vAlign w:val="center"/>
          </w:tcPr>
          <w:p>
            <w:pPr>
              <w:pStyle w:val="47"/>
            </w:pPr>
          </w:p>
        </w:tc>
        <w:tc>
          <w:tcPr>
            <w:tcW w:w="4127" w:type="dxa"/>
            <w:gridSpan w:val="2"/>
            <w:vMerge w:val="restart"/>
            <w:shd w:val="clear" w:color="auto" w:fill="auto"/>
            <w:vAlign w:val="center"/>
          </w:tcPr>
          <w:p>
            <w:pPr>
              <w:pStyle w:val="47"/>
            </w:pPr>
            <w:r>
              <w:t>《</w:t>
            </w:r>
            <w:r>
              <w:rPr>
                <w:rFonts w:hint="eastAsia"/>
              </w:rPr>
              <w:t>关于全省</w:t>
            </w:r>
            <w:r>
              <w:t>开展工业企业挥发性有机物</w:t>
            </w:r>
          </w:p>
          <w:p>
            <w:pPr>
              <w:pStyle w:val="47"/>
            </w:pPr>
            <w:r>
              <w:t>专项治理工作中排放建议值的通知》</w:t>
            </w:r>
          </w:p>
          <w:p>
            <w:pPr>
              <w:pStyle w:val="47"/>
            </w:pPr>
            <w:r>
              <w:t>（</w:t>
            </w:r>
            <w:r>
              <w:rPr>
                <w:rFonts w:hint="eastAsia"/>
              </w:rPr>
              <w:t>豫环</w:t>
            </w:r>
            <w:r>
              <w:t>攻坚办</w:t>
            </w:r>
            <w:r>
              <w:rPr>
                <w:rFonts w:hint="eastAsia"/>
              </w:rPr>
              <w:t>[2017]</w:t>
            </w:r>
            <w:r>
              <w:t>162</w:t>
            </w:r>
            <w:r>
              <w:rPr>
                <w:rFonts w:hint="eastAsia"/>
              </w:rPr>
              <w:t>号</w:t>
            </w:r>
            <w:r>
              <w:t>）</w:t>
            </w:r>
          </w:p>
        </w:tc>
        <w:tc>
          <w:tcPr>
            <w:tcW w:w="934" w:type="dxa"/>
            <w:vMerge w:val="restart"/>
            <w:shd w:val="clear" w:color="auto" w:fill="auto"/>
            <w:vAlign w:val="center"/>
          </w:tcPr>
          <w:p>
            <w:pPr>
              <w:pStyle w:val="47"/>
            </w:pPr>
            <w:r>
              <w:rPr>
                <w:rFonts w:hint="eastAsia"/>
              </w:rPr>
              <w:t>非甲烷总烃</w:t>
            </w:r>
          </w:p>
        </w:tc>
        <w:tc>
          <w:tcPr>
            <w:tcW w:w="1209" w:type="dxa"/>
            <w:shd w:val="clear" w:color="auto" w:fill="auto"/>
            <w:vAlign w:val="center"/>
          </w:tcPr>
          <w:p>
            <w:pPr>
              <w:pStyle w:val="47"/>
            </w:pPr>
            <w:r>
              <w:rPr>
                <w:rFonts w:hint="eastAsia"/>
              </w:rPr>
              <w:t>有组织</w:t>
            </w:r>
          </w:p>
        </w:tc>
        <w:tc>
          <w:tcPr>
            <w:tcW w:w="1978" w:type="dxa"/>
            <w:shd w:val="clear" w:color="auto" w:fill="auto"/>
            <w:vAlign w:val="center"/>
          </w:tcPr>
          <w:p>
            <w:pPr>
              <w:pStyle w:val="47"/>
            </w:pPr>
            <w:r>
              <w:rPr>
                <w:rFonts w:hint="eastAsia"/>
              </w:rPr>
              <w:t>100</w:t>
            </w:r>
            <w:r>
              <w:t>mg/</w:t>
            </w:r>
            <w:r>
              <w:rPr>
                <w:rFonts w:hint="eastAsia"/>
              </w:rPr>
              <w:t>m</w:t>
            </w:r>
            <w:r>
              <w:rPr>
                <w:rFonts w:hint="eastAsia"/>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1" w:hRule="atLeast"/>
          <w:jc w:val="center"/>
        </w:trPr>
        <w:tc>
          <w:tcPr>
            <w:tcW w:w="879" w:type="dxa"/>
            <w:vMerge w:val="continue"/>
            <w:vAlign w:val="center"/>
          </w:tcPr>
          <w:p>
            <w:pPr>
              <w:pStyle w:val="47"/>
            </w:pPr>
          </w:p>
        </w:tc>
        <w:tc>
          <w:tcPr>
            <w:tcW w:w="4127" w:type="dxa"/>
            <w:gridSpan w:val="2"/>
            <w:vMerge w:val="continue"/>
            <w:shd w:val="clear" w:color="auto" w:fill="auto"/>
            <w:vAlign w:val="center"/>
          </w:tcPr>
          <w:p>
            <w:pPr>
              <w:pStyle w:val="47"/>
            </w:pPr>
          </w:p>
        </w:tc>
        <w:tc>
          <w:tcPr>
            <w:tcW w:w="934" w:type="dxa"/>
            <w:vMerge w:val="continue"/>
            <w:shd w:val="clear" w:color="auto" w:fill="auto"/>
            <w:vAlign w:val="center"/>
          </w:tcPr>
          <w:p>
            <w:pPr>
              <w:pStyle w:val="47"/>
            </w:pPr>
          </w:p>
        </w:tc>
        <w:tc>
          <w:tcPr>
            <w:tcW w:w="1209" w:type="dxa"/>
            <w:shd w:val="clear" w:color="auto" w:fill="auto"/>
            <w:vAlign w:val="center"/>
          </w:tcPr>
          <w:p>
            <w:pPr>
              <w:pStyle w:val="47"/>
            </w:pPr>
            <w:r>
              <w:rPr>
                <w:rFonts w:hint="eastAsia"/>
              </w:rPr>
              <w:t>厂界</w:t>
            </w:r>
          </w:p>
        </w:tc>
        <w:tc>
          <w:tcPr>
            <w:tcW w:w="1978" w:type="dxa"/>
            <w:shd w:val="clear" w:color="auto" w:fill="auto"/>
            <w:vAlign w:val="center"/>
          </w:tcPr>
          <w:p>
            <w:pPr>
              <w:pStyle w:val="47"/>
            </w:pPr>
            <w:r>
              <w:rPr>
                <w:rFonts w:hint="eastAsia"/>
              </w:rPr>
              <w:t>厂界监控浓度限值</w:t>
            </w:r>
          </w:p>
          <w:p>
            <w:pPr>
              <w:pStyle w:val="47"/>
            </w:pPr>
            <w:r>
              <w:rPr>
                <w:rFonts w:hint="eastAsia"/>
              </w:rPr>
              <w:t>2.0</w:t>
            </w:r>
            <w:r>
              <w:t xml:space="preserve"> mg/</w:t>
            </w:r>
            <w:r>
              <w:rPr>
                <w:rFonts w:hint="eastAsia"/>
              </w:rPr>
              <w:t>m</w:t>
            </w:r>
            <w:r>
              <w:rPr>
                <w:rFonts w:hint="eastAsia"/>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879" w:type="dxa"/>
            <w:vMerge w:val="continue"/>
            <w:vAlign w:val="center"/>
          </w:tcPr>
          <w:p>
            <w:pPr>
              <w:pStyle w:val="47"/>
            </w:pPr>
          </w:p>
        </w:tc>
        <w:tc>
          <w:tcPr>
            <w:tcW w:w="4127" w:type="dxa"/>
            <w:gridSpan w:val="2"/>
            <w:vMerge w:val="restart"/>
            <w:vAlign w:val="center"/>
          </w:tcPr>
          <w:p>
            <w:pPr>
              <w:pStyle w:val="47"/>
            </w:pPr>
            <w:r>
              <w:t>《恶臭污染物排放标准》（GB14554-93）</w:t>
            </w:r>
          </w:p>
        </w:tc>
        <w:tc>
          <w:tcPr>
            <w:tcW w:w="934" w:type="dxa"/>
            <w:vMerge w:val="restart"/>
            <w:vAlign w:val="center"/>
          </w:tcPr>
          <w:p>
            <w:pPr>
              <w:pStyle w:val="47"/>
            </w:pPr>
            <w:r>
              <w:rPr>
                <w:rFonts w:hint="eastAsia"/>
              </w:rPr>
              <w:t>有组织</w:t>
            </w:r>
          </w:p>
        </w:tc>
        <w:tc>
          <w:tcPr>
            <w:tcW w:w="1209" w:type="dxa"/>
            <w:vAlign w:val="center"/>
          </w:tcPr>
          <w:p>
            <w:pPr>
              <w:pStyle w:val="47"/>
            </w:pPr>
            <w:r>
              <w:rPr>
                <w:rFonts w:hint="eastAsia"/>
              </w:rPr>
              <w:t>NH</w:t>
            </w:r>
            <w:r>
              <w:rPr>
                <w:rFonts w:hint="eastAsia"/>
                <w:vertAlign w:val="subscript"/>
              </w:rPr>
              <w:t>3</w:t>
            </w:r>
          </w:p>
        </w:tc>
        <w:tc>
          <w:tcPr>
            <w:tcW w:w="1978" w:type="dxa"/>
            <w:vAlign w:val="center"/>
          </w:tcPr>
          <w:p>
            <w:pPr>
              <w:pStyle w:val="47"/>
            </w:pPr>
            <w:r>
              <w:rPr>
                <w:rFonts w:hint="eastAsia"/>
              </w:rPr>
              <w:t>4.9kg/h(15m)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879" w:type="dxa"/>
            <w:vMerge w:val="continue"/>
            <w:vAlign w:val="center"/>
          </w:tcPr>
          <w:p>
            <w:pPr>
              <w:pStyle w:val="47"/>
            </w:pPr>
          </w:p>
        </w:tc>
        <w:tc>
          <w:tcPr>
            <w:tcW w:w="4127" w:type="dxa"/>
            <w:gridSpan w:val="2"/>
            <w:vMerge w:val="continue"/>
            <w:vAlign w:val="center"/>
          </w:tcPr>
          <w:p>
            <w:pPr>
              <w:pStyle w:val="47"/>
            </w:pPr>
          </w:p>
        </w:tc>
        <w:tc>
          <w:tcPr>
            <w:tcW w:w="934" w:type="dxa"/>
            <w:vMerge w:val="continue"/>
            <w:vAlign w:val="center"/>
          </w:tcPr>
          <w:p>
            <w:pPr>
              <w:pStyle w:val="47"/>
            </w:pPr>
          </w:p>
        </w:tc>
        <w:tc>
          <w:tcPr>
            <w:tcW w:w="1209" w:type="dxa"/>
            <w:vAlign w:val="center"/>
          </w:tcPr>
          <w:p>
            <w:pPr>
              <w:pStyle w:val="47"/>
            </w:pPr>
            <w:r>
              <w:rPr>
                <w:rFonts w:hint="eastAsia"/>
              </w:rPr>
              <w:t>H</w:t>
            </w:r>
            <w:r>
              <w:rPr>
                <w:rFonts w:hint="eastAsia"/>
                <w:vertAlign w:val="subscript"/>
              </w:rPr>
              <w:t>2</w:t>
            </w:r>
            <w:r>
              <w:rPr>
                <w:rFonts w:hint="eastAsia"/>
              </w:rPr>
              <w:t>S</w:t>
            </w:r>
          </w:p>
        </w:tc>
        <w:tc>
          <w:tcPr>
            <w:tcW w:w="1978" w:type="dxa"/>
            <w:vAlign w:val="center"/>
          </w:tcPr>
          <w:p>
            <w:pPr>
              <w:pStyle w:val="47"/>
            </w:pPr>
            <w:r>
              <w:rPr>
                <w:rFonts w:hint="eastAsia"/>
              </w:rPr>
              <w:t>0.33kg/h(15m)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879" w:type="dxa"/>
            <w:vMerge w:val="continue"/>
            <w:vAlign w:val="center"/>
          </w:tcPr>
          <w:p>
            <w:pPr>
              <w:pStyle w:val="47"/>
            </w:pPr>
          </w:p>
        </w:tc>
        <w:tc>
          <w:tcPr>
            <w:tcW w:w="4127" w:type="dxa"/>
            <w:gridSpan w:val="2"/>
            <w:vMerge w:val="continue"/>
            <w:vAlign w:val="center"/>
          </w:tcPr>
          <w:p>
            <w:pPr>
              <w:pStyle w:val="47"/>
            </w:pPr>
          </w:p>
        </w:tc>
        <w:tc>
          <w:tcPr>
            <w:tcW w:w="934" w:type="dxa"/>
            <w:vMerge w:val="restart"/>
            <w:vAlign w:val="center"/>
          </w:tcPr>
          <w:p>
            <w:pPr>
              <w:pStyle w:val="47"/>
            </w:pPr>
            <w:r>
              <w:rPr>
                <w:rFonts w:hint="eastAsia"/>
              </w:rPr>
              <w:t>厂界</w:t>
            </w:r>
          </w:p>
        </w:tc>
        <w:tc>
          <w:tcPr>
            <w:tcW w:w="1209" w:type="dxa"/>
            <w:vAlign w:val="center"/>
          </w:tcPr>
          <w:p>
            <w:pPr>
              <w:pStyle w:val="47"/>
            </w:pPr>
            <w:r>
              <w:rPr>
                <w:rFonts w:hint="eastAsia"/>
              </w:rPr>
              <w:t>NH</w:t>
            </w:r>
            <w:r>
              <w:rPr>
                <w:rFonts w:hint="eastAsia"/>
                <w:vertAlign w:val="subscript"/>
              </w:rPr>
              <w:t>3</w:t>
            </w:r>
          </w:p>
        </w:tc>
        <w:tc>
          <w:tcPr>
            <w:tcW w:w="1978" w:type="dxa"/>
            <w:vAlign w:val="center"/>
          </w:tcPr>
          <w:p>
            <w:pPr>
              <w:pStyle w:val="47"/>
            </w:pPr>
            <w:r>
              <w:rPr>
                <w:rFonts w:hint="eastAsia"/>
              </w:rPr>
              <w:t>厂界监控浓度限值1.5</w:t>
            </w:r>
            <w:r>
              <w:t xml:space="preserve"> mg/</w:t>
            </w:r>
            <w:r>
              <w:rPr>
                <w:rFonts w:hint="eastAsia"/>
              </w:rPr>
              <w:t>m</w:t>
            </w:r>
            <w:r>
              <w:rPr>
                <w:rFonts w:hint="eastAsia"/>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0" w:hRule="atLeast"/>
          <w:jc w:val="center"/>
        </w:trPr>
        <w:tc>
          <w:tcPr>
            <w:tcW w:w="879" w:type="dxa"/>
            <w:vMerge w:val="continue"/>
            <w:vAlign w:val="center"/>
          </w:tcPr>
          <w:p>
            <w:pPr>
              <w:pStyle w:val="47"/>
            </w:pPr>
          </w:p>
        </w:tc>
        <w:tc>
          <w:tcPr>
            <w:tcW w:w="4127" w:type="dxa"/>
            <w:gridSpan w:val="2"/>
            <w:vMerge w:val="continue"/>
            <w:vAlign w:val="center"/>
          </w:tcPr>
          <w:p>
            <w:pPr>
              <w:pStyle w:val="47"/>
            </w:pPr>
          </w:p>
        </w:tc>
        <w:tc>
          <w:tcPr>
            <w:tcW w:w="934" w:type="dxa"/>
            <w:vMerge w:val="continue"/>
            <w:vAlign w:val="center"/>
          </w:tcPr>
          <w:p>
            <w:pPr>
              <w:pStyle w:val="47"/>
            </w:pPr>
          </w:p>
        </w:tc>
        <w:tc>
          <w:tcPr>
            <w:tcW w:w="1209" w:type="dxa"/>
            <w:vAlign w:val="center"/>
          </w:tcPr>
          <w:p>
            <w:pPr>
              <w:pStyle w:val="47"/>
            </w:pPr>
            <w:r>
              <w:rPr>
                <w:rFonts w:hint="eastAsia"/>
              </w:rPr>
              <w:t>H</w:t>
            </w:r>
            <w:r>
              <w:rPr>
                <w:rFonts w:hint="eastAsia"/>
                <w:vertAlign w:val="subscript"/>
              </w:rPr>
              <w:t>2</w:t>
            </w:r>
            <w:r>
              <w:rPr>
                <w:rFonts w:hint="eastAsia"/>
              </w:rPr>
              <w:t>S</w:t>
            </w:r>
          </w:p>
        </w:tc>
        <w:tc>
          <w:tcPr>
            <w:tcW w:w="1978" w:type="dxa"/>
            <w:vAlign w:val="center"/>
          </w:tcPr>
          <w:p>
            <w:pPr>
              <w:pStyle w:val="47"/>
            </w:pPr>
            <w:r>
              <w:rPr>
                <w:rFonts w:hint="eastAsia"/>
              </w:rPr>
              <w:t>厂界监控浓度限值0.06</w:t>
            </w:r>
            <w:r>
              <w:t xml:space="preserve"> mg/</w:t>
            </w:r>
            <w:r>
              <w:rPr>
                <w:rFonts w:hint="eastAsia"/>
              </w:rPr>
              <w:t>m</w:t>
            </w:r>
            <w:r>
              <w:rPr>
                <w:rFonts w:hint="eastAsia"/>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879" w:type="dxa"/>
            <w:vMerge w:val="continue"/>
            <w:vAlign w:val="center"/>
          </w:tcPr>
          <w:p>
            <w:pPr>
              <w:pStyle w:val="47"/>
            </w:pPr>
          </w:p>
        </w:tc>
        <w:tc>
          <w:tcPr>
            <w:tcW w:w="4127" w:type="dxa"/>
            <w:gridSpan w:val="2"/>
            <w:vMerge w:val="continue"/>
            <w:vAlign w:val="center"/>
          </w:tcPr>
          <w:p>
            <w:pPr>
              <w:pStyle w:val="47"/>
            </w:pPr>
          </w:p>
        </w:tc>
        <w:tc>
          <w:tcPr>
            <w:tcW w:w="2143" w:type="dxa"/>
            <w:gridSpan w:val="2"/>
            <w:vAlign w:val="center"/>
          </w:tcPr>
          <w:p>
            <w:pPr>
              <w:pStyle w:val="47"/>
            </w:pPr>
            <w:r>
              <w:rPr>
                <w:rFonts w:hint="eastAsia"/>
              </w:rPr>
              <w:t>臭气浓度</w:t>
            </w:r>
          </w:p>
        </w:tc>
        <w:tc>
          <w:tcPr>
            <w:tcW w:w="1978" w:type="dxa"/>
            <w:vAlign w:val="center"/>
          </w:tcPr>
          <w:p>
            <w:pPr>
              <w:pStyle w:val="47"/>
            </w:pPr>
            <w:r>
              <w:rPr>
                <w:rFonts w:hint="eastAsia"/>
              </w:rPr>
              <w:t>20（无量纲）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879" w:type="dxa"/>
            <w:vMerge w:val="continue"/>
            <w:vAlign w:val="center"/>
          </w:tcPr>
          <w:p>
            <w:pPr>
              <w:pStyle w:val="47"/>
            </w:pPr>
          </w:p>
        </w:tc>
        <w:tc>
          <w:tcPr>
            <w:tcW w:w="4127" w:type="dxa"/>
            <w:gridSpan w:val="2"/>
            <w:vMerge w:val="restart"/>
            <w:vAlign w:val="center"/>
          </w:tcPr>
          <w:p>
            <w:pPr>
              <w:pStyle w:val="47"/>
            </w:pPr>
            <w:r>
              <w:rPr>
                <w:rFonts w:hint="eastAsia"/>
              </w:rPr>
              <w:t>《储油库大气污染物排放标准》</w:t>
            </w:r>
          </w:p>
          <w:p>
            <w:pPr>
              <w:pStyle w:val="47"/>
            </w:pPr>
            <w:r>
              <w:rPr>
                <w:rFonts w:hint="eastAsia"/>
              </w:rPr>
              <w:t>（</w:t>
            </w:r>
            <w:r>
              <w:fldChar w:fldCharType="begin"/>
            </w:r>
            <w:r>
              <w:instrText xml:space="preserve"> HYPERLINK "http://www.so.com/link?m=aE8x7BAdFGaRwT6%2BHi9Ln7AxGRgZ0lAMvyF5f1CSwN7kKOSBn9DfVKHNHdrw1nuj4ethkndRDXxT0AysdUrk65wucAOFAdNJVh%2FcLr9iT0%2BXvtlXyFFYSHbtpDoNalYpTiLL8zQnKiC66SqLhHb%2Fo9vTiKM2MlDg4xpws%2B%2FSTXI7lNUU5nDOxl6YjNaoSBDEFcWQgC2atjxCWCaMBzlPhl%2FQjZlf5ugk%2F6c3%2BsxuwNwEuxBr%2B" \t "_blank" </w:instrText>
            </w:r>
            <w:r>
              <w:fldChar w:fldCharType="separate"/>
            </w:r>
            <w:r>
              <w:t>GB 20950-2007</w:t>
            </w:r>
            <w:r>
              <w:fldChar w:fldCharType="end"/>
            </w:r>
            <w:r>
              <w:rPr>
                <w:rFonts w:hint="eastAsia"/>
              </w:rPr>
              <w:t>）处理装置油气排放限值</w:t>
            </w:r>
          </w:p>
        </w:tc>
        <w:tc>
          <w:tcPr>
            <w:tcW w:w="2143" w:type="dxa"/>
            <w:gridSpan w:val="2"/>
            <w:vAlign w:val="center"/>
          </w:tcPr>
          <w:p>
            <w:pPr>
              <w:pStyle w:val="47"/>
            </w:pPr>
            <w:r>
              <w:rPr>
                <w:rFonts w:hint="eastAsia"/>
              </w:rPr>
              <w:t>油气排放浓度</w:t>
            </w:r>
          </w:p>
        </w:tc>
        <w:tc>
          <w:tcPr>
            <w:tcW w:w="1978" w:type="dxa"/>
            <w:vAlign w:val="center"/>
          </w:tcPr>
          <w:p>
            <w:pPr>
              <w:pStyle w:val="47"/>
            </w:pPr>
            <w:r>
              <w:rPr>
                <w:rFonts w:hint="eastAsia"/>
              </w:rPr>
              <w:t>≤</w:t>
            </w:r>
            <w:r>
              <w:t>25g/m</w:t>
            </w:r>
            <w:r>
              <w:rPr>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879" w:type="dxa"/>
            <w:vMerge w:val="continue"/>
            <w:vAlign w:val="center"/>
          </w:tcPr>
          <w:p>
            <w:pPr>
              <w:pStyle w:val="47"/>
            </w:pPr>
          </w:p>
        </w:tc>
        <w:tc>
          <w:tcPr>
            <w:tcW w:w="4127" w:type="dxa"/>
            <w:gridSpan w:val="2"/>
            <w:vMerge w:val="continue"/>
            <w:vAlign w:val="center"/>
          </w:tcPr>
          <w:p>
            <w:pPr>
              <w:pStyle w:val="47"/>
            </w:pPr>
          </w:p>
        </w:tc>
        <w:tc>
          <w:tcPr>
            <w:tcW w:w="2143" w:type="dxa"/>
            <w:gridSpan w:val="2"/>
            <w:vAlign w:val="center"/>
          </w:tcPr>
          <w:p>
            <w:pPr>
              <w:pStyle w:val="47"/>
            </w:pPr>
            <w:r>
              <w:rPr>
                <w:rFonts w:hint="eastAsia"/>
              </w:rPr>
              <w:t>油气处理效率</w:t>
            </w:r>
          </w:p>
        </w:tc>
        <w:tc>
          <w:tcPr>
            <w:tcW w:w="1978" w:type="dxa"/>
            <w:vAlign w:val="center"/>
          </w:tcPr>
          <w:p>
            <w:pPr>
              <w:pStyle w:val="47"/>
            </w:pPr>
            <w:r>
              <w:rPr>
                <w:rFonts w:hint="eastAsia"/>
              </w:rPr>
              <w:t>≥</w:t>
            </w: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879" w:type="dxa"/>
            <w:vMerge w:val="restart"/>
            <w:vAlign w:val="center"/>
          </w:tcPr>
          <w:p>
            <w:pPr>
              <w:pStyle w:val="47"/>
            </w:pPr>
            <w:r>
              <w:rPr>
                <w:rFonts w:hint="eastAsia"/>
              </w:rPr>
              <w:t>废</w:t>
            </w:r>
            <w:r>
              <w:t>水</w:t>
            </w:r>
          </w:p>
        </w:tc>
        <w:tc>
          <w:tcPr>
            <w:tcW w:w="4127" w:type="dxa"/>
            <w:gridSpan w:val="2"/>
            <w:vMerge w:val="restart"/>
            <w:vAlign w:val="center"/>
          </w:tcPr>
          <w:p>
            <w:pPr>
              <w:pStyle w:val="47"/>
            </w:pPr>
            <w:r>
              <w:rPr>
                <w:rFonts w:hint="eastAsia"/>
              </w:rPr>
              <w:t>COD和氨氮执行濮阳市第二污水处理厂收水标准，其他指标执行《污水综合排放标准》（GB8978-1996）</w:t>
            </w:r>
          </w:p>
          <w:p>
            <w:pPr>
              <w:pStyle w:val="47"/>
            </w:pPr>
            <w:r>
              <w:rPr>
                <w:rFonts w:hint="eastAsia"/>
              </w:rPr>
              <w:t>表4二级</w:t>
            </w:r>
          </w:p>
        </w:tc>
        <w:tc>
          <w:tcPr>
            <w:tcW w:w="2143" w:type="dxa"/>
            <w:gridSpan w:val="2"/>
            <w:vAlign w:val="center"/>
          </w:tcPr>
          <w:p>
            <w:pPr>
              <w:pStyle w:val="47"/>
            </w:pPr>
            <w:r>
              <w:rPr>
                <w:rFonts w:hint="eastAsia"/>
              </w:rPr>
              <w:t>p</w:t>
            </w:r>
            <w:r>
              <w:t>H</w:t>
            </w:r>
          </w:p>
        </w:tc>
        <w:tc>
          <w:tcPr>
            <w:tcW w:w="1978" w:type="dxa"/>
            <w:vAlign w:val="center"/>
          </w:tcPr>
          <w:p>
            <w:pPr>
              <w:pStyle w:val="47"/>
            </w:pPr>
            <w:r>
              <w:rPr>
                <w:rFonts w:hint="eastAsia"/>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879" w:type="dxa"/>
            <w:vMerge w:val="continue"/>
            <w:vAlign w:val="center"/>
          </w:tcPr>
          <w:p>
            <w:pPr>
              <w:pStyle w:val="47"/>
            </w:pPr>
          </w:p>
        </w:tc>
        <w:tc>
          <w:tcPr>
            <w:tcW w:w="4127" w:type="dxa"/>
            <w:gridSpan w:val="2"/>
            <w:vMerge w:val="continue"/>
            <w:vAlign w:val="center"/>
          </w:tcPr>
          <w:p>
            <w:pPr>
              <w:pStyle w:val="47"/>
            </w:pPr>
          </w:p>
        </w:tc>
        <w:tc>
          <w:tcPr>
            <w:tcW w:w="2143" w:type="dxa"/>
            <w:gridSpan w:val="2"/>
            <w:vAlign w:val="center"/>
          </w:tcPr>
          <w:p>
            <w:pPr>
              <w:pStyle w:val="47"/>
            </w:pPr>
            <w:r>
              <w:t>COD</w:t>
            </w:r>
          </w:p>
        </w:tc>
        <w:tc>
          <w:tcPr>
            <w:tcW w:w="1978" w:type="dxa"/>
            <w:vAlign w:val="center"/>
          </w:tcPr>
          <w:p>
            <w:pPr>
              <w:pStyle w:val="47"/>
            </w:pPr>
            <w:r>
              <w:t>3</w:t>
            </w:r>
            <w:r>
              <w:rPr>
                <w:rFonts w:hint="eastAsia"/>
              </w:rPr>
              <w:t>50mg/L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879" w:type="dxa"/>
            <w:vMerge w:val="continue"/>
            <w:vAlign w:val="center"/>
          </w:tcPr>
          <w:p>
            <w:pPr>
              <w:pStyle w:val="47"/>
            </w:pPr>
          </w:p>
        </w:tc>
        <w:tc>
          <w:tcPr>
            <w:tcW w:w="4127" w:type="dxa"/>
            <w:gridSpan w:val="2"/>
            <w:vMerge w:val="continue"/>
            <w:vAlign w:val="center"/>
          </w:tcPr>
          <w:p>
            <w:pPr>
              <w:pStyle w:val="47"/>
            </w:pPr>
          </w:p>
        </w:tc>
        <w:tc>
          <w:tcPr>
            <w:tcW w:w="2143" w:type="dxa"/>
            <w:gridSpan w:val="2"/>
            <w:vAlign w:val="center"/>
          </w:tcPr>
          <w:p>
            <w:pPr>
              <w:pStyle w:val="47"/>
            </w:pPr>
            <w:r>
              <w:rPr>
                <w:rFonts w:hint="eastAsia"/>
              </w:rPr>
              <w:t>氨氮</w:t>
            </w:r>
          </w:p>
        </w:tc>
        <w:tc>
          <w:tcPr>
            <w:tcW w:w="1978" w:type="dxa"/>
            <w:vAlign w:val="center"/>
          </w:tcPr>
          <w:p>
            <w:pPr>
              <w:pStyle w:val="47"/>
            </w:pPr>
            <w:r>
              <w:t>40</w:t>
            </w:r>
            <w:r>
              <w:rPr>
                <w:rFonts w:hint="eastAsia"/>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879" w:type="dxa"/>
            <w:vMerge w:val="continue"/>
            <w:vAlign w:val="center"/>
          </w:tcPr>
          <w:p>
            <w:pPr>
              <w:pStyle w:val="47"/>
            </w:pPr>
          </w:p>
        </w:tc>
        <w:tc>
          <w:tcPr>
            <w:tcW w:w="4127" w:type="dxa"/>
            <w:gridSpan w:val="2"/>
            <w:vMerge w:val="continue"/>
            <w:vAlign w:val="center"/>
          </w:tcPr>
          <w:p>
            <w:pPr>
              <w:pStyle w:val="47"/>
            </w:pPr>
          </w:p>
        </w:tc>
        <w:tc>
          <w:tcPr>
            <w:tcW w:w="2143" w:type="dxa"/>
            <w:gridSpan w:val="2"/>
            <w:vAlign w:val="center"/>
          </w:tcPr>
          <w:p>
            <w:pPr>
              <w:pStyle w:val="47"/>
            </w:pPr>
            <w:r>
              <w:rPr>
                <w:rFonts w:hint="eastAsia"/>
              </w:rPr>
              <w:t>BOD</w:t>
            </w:r>
            <w:r>
              <w:rPr>
                <w:rFonts w:hint="eastAsia"/>
                <w:vertAlign w:val="subscript"/>
              </w:rPr>
              <w:t>5</w:t>
            </w:r>
          </w:p>
        </w:tc>
        <w:tc>
          <w:tcPr>
            <w:tcW w:w="1978" w:type="dxa"/>
            <w:vAlign w:val="center"/>
          </w:tcPr>
          <w:p>
            <w:pPr>
              <w:pStyle w:val="47"/>
            </w:pPr>
            <w:r>
              <w:rPr>
                <w:rFonts w:hint="eastAsia"/>
              </w:rPr>
              <w:t>30mg/L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879" w:type="dxa"/>
            <w:vMerge w:val="continue"/>
            <w:vAlign w:val="center"/>
          </w:tcPr>
          <w:p>
            <w:pPr>
              <w:pStyle w:val="47"/>
            </w:pPr>
          </w:p>
        </w:tc>
        <w:tc>
          <w:tcPr>
            <w:tcW w:w="4127" w:type="dxa"/>
            <w:gridSpan w:val="2"/>
            <w:vMerge w:val="continue"/>
            <w:vAlign w:val="center"/>
          </w:tcPr>
          <w:p>
            <w:pPr>
              <w:pStyle w:val="47"/>
            </w:pPr>
          </w:p>
        </w:tc>
        <w:tc>
          <w:tcPr>
            <w:tcW w:w="2143" w:type="dxa"/>
            <w:gridSpan w:val="2"/>
            <w:vAlign w:val="center"/>
          </w:tcPr>
          <w:p>
            <w:pPr>
              <w:pStyle w:val="47"/>
            </w:pPr>
            <w:r>
              <w:rPr>
                <w:rFonts w:hint="eastAsia"/>
              </w:rPr>
              <w:t>SS</w:t>
            </w:r>
          </w:p>
        </w:tc>
        <w:tc>
          <w:tcPr>
            <w:tcW w:w="1978" w:type="dxa"/>
            <w:vAlign w:val="center"/>
          </w:tcPr>
          <w:p>
            <w:pPr>
              <w:pStyle w:val="47"/>
            </w:pPr>
            <w:r>
              <w:rPr>
                <w:rFonts w:hint="eastAsia"/>
              </w:rPr>
              <w:t>150mg/L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879" w:type="dxa"/>
            <w:vMerge w:val="continue"/>
            <w:vAlign w:val="center"/>
          </w:tcPr>
          <w:p>
            <w:pPr>
              <w:pStyle w:val="47"/>
            </w:pPr>
          </w:p>
        </w:tc>
        <w:tc>
          <w:tcPr>
            <w:tcW w:w="4127" w:type="dxa"/>
            <w:gridSpan w:val="2"/>
            <w:vMerge w:val="continue"/>
            <w:vAlign w:val="center"/>
          </w:tcPr>
          <w:p>
            <w:pPr>
              <w:pStyle w:val="47"/>
            </w:pPr>
          </w:p>
        </w:tc>
        <w:tc>
          <w:tcPr>
            <w:tcW w:w="2143" w:type="dxa"/>
            <w:gridSpan w:val="2"/>
            <w:vAlign w:val="center"/>
          </w:tcPr>
          <w:p>
            <w:pPr>
              <w:pStyle w:val="47"/>
            </w:pPr>
            <w:r>
              <w:rPr>
                <w:rFonts w:hint="eastAsia"/>
              </w:rPr>
              <w:t>石油类</w:t>
            </w:r>
          </w:p>
        </w:tc>
        <w:tc>
          <w:tcPr>
            <w:tcW w:w="1978" w:type="dxa"/>
            <w:vAlign w:val="center"/>
          </w:tcPr>
          <w:p>
            <w:pPr>
              <w:pStyle w:val="47"/>
            </w:pPr>
            <w:r>
              <w:rPr>
                <w:rFonts w:hint="eastAsia"/>
              </w:rPr>
              <w:t>10mg/L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879" w:type="dxa"/>
            <w:vMerge w:val="restart"/>
            <w:vAlign w:val="center"/>
          </w:tcPr>
          <w:p>
            <w:pPr>
              <w:pStyle w:val="47"/>
            </w:pPr>
            <w:r>
              <w:rPr>
                <w:rFonts w:hint="eastAsia"/>
              </w:rPr>
              <w:t>噪</w:t>
            </w:r>
            <w:r>
              <w:t>声</w:t>
            </w:r>
          </w:p>
        </w:tc>
        <w:tc>
          <w:tcPr>
            <w:tcW w:w="2352" w:type="dxa"/>
            <w:vMerge w:val="restart"/>
            <w:vAlign w:val="center"/>
          </w:tcPr>
          <w:p>
            <w:pPr>
              <w:pStyle w:val="47"/>
            </w:pPr>
            <w:r>
              <w:rPr>
                <w:rFonts w:hint="eastAsia"/>
              </w:rPr>
              <w:t>《工业企业厂界环境噪声排放标准》（</w:t>
            </w:r>
            <w:r>
              <w:t>GB12348-</w:t>
            </w:r>
            <w:r>
              <w:rPr>
                <w:rFonts w:hint="eastAsia"/>
              </w:rPr>
              <w:t>2008</w:t>
            </w:r>
            <w:r>
              <w:t>）</w:t>
            </w:r>
          </w:p>
        </w:tc>
        <w:tc>
          <w:tcPr>
            <w:tcW w:w="1775" w:type="dxa"/>
            <w:vAlign w:val="center"/>
          </w:tcPr>
          <w:p>
            <w:pPr>
              <w:pStyle w:val="47"/>
            </w:pPr>
            <w:r>
              <w:rPr>
                <w:rFonts w:hint="eastAsia"/>
              </w:rPr>
              <w:t>3类</w:t>
            </w:r>
          </w:p>
        </w:tc>
        <w:tc>
          <w:tcPr>
            <w:tcW w:w="2143" w:type="dxa"/>
            <w:gridSpan w:val="2"/>
            <w:vMerge w:val="restart"/>
            <w:vAlign w:val="center"/>
          </w:tcPr>
          <w:p>
            <w:pPr>
              <w:pStyle w:val="47"/>
            </w:pPr>
            <w:r>
              <w:rPr>
                <w:rFonts w:hint="eastAsia"/>
              </w:rPr>
              <w:t>噪声</w:t>
            </w:r>
          </w:p>
        </w:tc>
        <w:tc>
          <w:tcPr>
            <w:tcW w:w="1978" w:type="dxa"/>
            <w:vAlign w:val="center"/>
          </w:tcPr>
          <w:p>
            <w:pPr>
              <w:pStyle w:val="47"/>
            </w:pPr>
            <w:r>
              <w:rPr>
                <w:rFonts w:hint="eastAsia"/>
              </w:rPr>
              <w:t xml:space="preserve">昼间  </w:t>
            </w:r>
            <w:r>
              <w:t>6</w:t>
            </w:r>
            <w:r>
              <w:rPr>
                <w:rFonts w:hint="eastAsia"/>
              </w:rPr>
              <w:t>5</w:t>
            </w:r>
            <w:r>
              <w:t>dB(A)</w:t>
            </w:r>
            <w:r>
              <w:rPr>
                <w:rFonts w:hint="eastAsia"/>
              </w:rPr>
              <w:t xml:space="preserve"> </w:t>
            </w:r>
          </w:p>
          <w:p>
            <w:pPr>
              <w:pStyle w:val="47"/>
            </w:pPr>
            <w:r>
              <w:rPr>
                <w:rFonts w:hint="eastAsia"/>
              </w:rPr>
              <w:t xml:space="preserve">夜间  </w:t>
            </w:r>
            <w:r>
              <w:t>5</w:t>
            </w:r>
            <w:r>
              <w:rPr>
                <w:rFonts w:hint="eastAsia"/>
              </w:rPr>
              <w:t>5</w:t>
            </w:r>
            <w: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879" w:type="dxa"/>
            <w:vMerge w:val="continue"/>
            <w:vAlign w:val="center"/>
          </w:tcPr>
          <w:p>
            <w:pPr>
              <w:pStyle w:val="47"/>
            </w:pPr>
          </w:p>
        </w:tc>
        <w:tc>
          <w:tcPr>
            <w:tcW w:w="2352" w:type="dxa"/>
            <w:vMerge w:val="continue"/>
            <w:vAlign w:val="center"/>
          </w:tcPr>
          <w:p>
            <w:pPr>
              <w:pStyle w:val="47"/>
            </w:pPr>
          </w:p>
        </w:tc>
        <w:tc>
          <w:tcPr>
            <w:tcW w:w="1775" w:type="dxa"/>
            <w:vAlign w:val="center"/>
          </w:tcPr>
          <w:p>
            <w:pPr>
              <w:pStyle w:val="47"/>
            </w:pPr>
            <w:r>
              <w:t>4类</w:t>
            </w:r>
          </w:p>
        </w:tc>
        <w:tc>
          <w:tcPr>
            <w:tcW w:w="2143" w:type="dxa"/>
            <w:gridSpan w:val="2"/>
            <w:vMerge w:val="continue"/>
            <w:vAlign w:val="center"/>
          </w:tcPr>
          <w:p>
            <w:pPr>
              <w:pStyle w:val="47"/>
            </w:pPr>
          </w:p>
        </w:tc>
        <w:tc>
          <w:tcPr>
            <w:tcW w:w="1978" w:type="dxa"/>
            <w:vAlign w:val="center"/>
          </w:tcPr>
          <w:p>
            <w:pPr>
              <w:pStyle w:val="47"/>
            </w:pPr>
            <w:r>
              <w:rPr>
                <w:rFonts w:hint="eastAsia"/>
              </w:rPr>
              <w:t>昼间  70</w:t>
            </w:r>
            <w:r>
              <w:t>dB(A)</w:t>
            </w:r>
            <w:r>
              <w:rPr>
                <w:rFonts w:hint="eastAsia"/>
              </w:rPr>
              <w:t xml:space="preserve"> </w:t>
            </w:r>
          </w:p>
          <w:p>
            <w:pPr>
              <w:pStyle w:val="47"/>
            </w:pPr>
            <w:r>
              <w:rPr>
                <w:rFonts w:hint="eastAsia"/>
              </w:rPr>
              <w:t xml:space="preserve">夜间  </w:t>
            </w:r>
            <w:r>
              <w:t>5</w:t>
            </w:r>
            <w:r>
              <w:rPr>
                <w:rFonts w:hint="eastAsia"/>
              </w:rPr>
              <w:t>5</w:t>
            </w:r>
            <w: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879" w:type="dxa"/>
            <w:vMerge w:val="continue"/>
            <w:vAlign w:val="center"/>
          </w:tcPr>
          <w:p>
            <w:pPr>
              <w:pStyle w:val="47"/>
            </w:pPr>
          </w:p>
        </w:tc>
        <w:tc>
          <w:tcPr>
            <w:tcW w:w="4127" w:type="dxa"/>
            <w:gridSpan w:val="2"/>
            <w:vAlign w:val="center"/>
          </w:tcPr>
          <w:p>
            <w:pPr>
              <w:pStyle w:val="47"/>
            </w:pPr>
            <w:r>
              <w:t>《建筑施工场界环境噪声排放标准》</w:t>
            </w:r>
          </w:p>
          <w:p>
            <w:pPr>
              <w:pStyle w:val="47"/>
            </w:pPr>
            <w:r>
              <w:t>（GB12523－2011</w:t>
            </w:r>
            <w:r>
              <w:rPr>
                <w:rFonts w:hint="eastAsia"/>
              </w:rPr>
              <w:t>）</w:t>
            </w:r>
          </w:p>
        </w:tc>
        <w:tc>
          <w:tcPr>
            <w:tcW w:w="2143" w:type="dxa"/>
            <w:gridSpan w:val="2"/>
            <w:vAlign w:val="center"/>
          </w:tcPr>
          <w:p>
            <w:pPr>
              <w:pStyle w:val="47"/>
            </w:pPr>
            <w:r>
              <w:t>夜间噪声最大声级超过限值的幅度不得高于15dB（A）</w:t>
            </w:r>
          </w:p>
        </w:tc>
        <w:tc>
          <w:tcPr>
            <w:tcW w:w="1978" w:type="dxa"/>
            <w:vAlign w:val="center"/>
          </w:tcPr>
          <w:p>
            <w:pPr>
              <w:pStyle w:val="47"/>
            </w:pPr>
            <w:r>
              <w:rPr>
                <w:rFonts w:hint="eastAsia"/>
              </w:rPr>
              <w:t>昼间  70</w:t>
            </w:r>
            <w:r>
              <w:t>dB(A)</w:t>
            </w:r>
          </w:p>
          <w:p>
            <w:pPr>
              <w:pStyle w:val="47"/>
            </w:pPr>
            <w:r>
              <w:rPr>
                <w:rFonts w:hint="eastAsia"/>
              </w:rPr>
              <w:t xml:space="preserve">夜间  </w:t>
            </w:r>
            <w:r>
              <w:t>5</w:t>
            </w:r>
            <w:r>
              <w:rPr>
                <w:rFonts w:hint="eastAsia"/>
              </w:rPr>
              <w:t>5</w:t>
            </w:r>
            <w: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879" w:type="dxa"/>
            <w:vMerge w:val="restart"/>
            <w:vAlign w:val="center"/>
          </w:tcPr>
          <w:p>
            <w:pPr>
              <w:pStyle w:val="47"/>
            </w:pPr>
            <w:r>
              <w:rPr>
                <w:rFonts w:hint="eastAsia"/>
              </w:rPr>
              <w:t>固废</w:t>
            </w:r>
          </w:p>
        </w:tc>
        <w:tc>
          <w:tcPr>
            <w:tcW w:w="8248" w:type="dxa"/>
            <w:gridSpan w:val="5"/>
            <w:vAlign w:val="center"/>
          </w:tcPr>
          <w:p>
            <w:pPr>
              <w:pStyle w:val="47"/>
              <w:jc w:val="left"/>
            </w:pPr>
            <w:r>
              <w:rPr>
                <w:rFonts w:hint="eastAsia"/>
              </w:rPr>
              <w:t>《一般工业固体废物贮存、处置场污染控制标准》（GB18599-2001）及2013年修改单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879" w:type="dxa"/>
            <w:vMerge w:val="continue"/>
            <w:vAlign w:val="center"/>
          </w:tcPr>
          <w:p>
            <w:pPr>
              <w:pStyle w:val="47"/>
            </w:pPr>
          </w:p>
        </w:tc>
        <w:tc>
          <w:tcPr>
            <w:tcW w:w="8248" w:type="dxa"/>
            <w:gridSpan w:val="5"/>
            <w:vAlign w:val="center"/>
          </w:tcPr>
          <w:p>
            <w:pPr>
              <w:pStyle w:val="47"/>
              <w:jc w:val="left"/>
            </w:pPr>
            <w:r>
              <w:rPr>
                <w:rFonts w:hint="eastAsia"/>
              </w:rPr>
              <w:t>《危险废物贮存污染控制标准》（GB18597-2001）及2013年修改单</w:t>
            </w:r>
          </w:p>
        </w:tc>
      </w:tr>
    </w:tbl>
    <w:p>
      <w:pPr>
        <w:pStyle w:val="39"/>
        <w:rPr>
          <w:color w:val="auto"/>
        </w:rPr>
      </w:pPr>
      <w:bookmarkStart w:id="17" w:name="_Toc8391526"/>
      <w:r>
        <w:rPr>
          <w:rFonts w:hint="eastAsia"/>
          <w:color w:val="auto"/>
        </w:rPr>
        <w:t>2.3 评价工作等级及评价范围</w:t>
      </w:r>
      <w:bookmarkEnd w:id="17"/>
    </w:p>
    <w:p>
      <w:pPr>
        <w:spacing w:before="80" w:after="80" w:line="520" w:lineRule="exact"/>
        <w:outlineLvl w:val="2"/>
        <w:rPr>
          <w:rFonts w:ascii="Times New Roman" w:hAnsi="Times New Roman" w:eastAsia="楷体" w:cs="Times New Roman"/>
          <w:sz w:val="28"/>
          <w:szCs w:val="28"/>
        </w:rPr>
      </w:pPr>
      <w:bookmarkStart w:id="18" w:name="_Toc8391527"/>
      <w:r>
        <w:rPr>
          <w:rFonts w:hint="eastAsia" w:ascii="Times New Roman" w:hAnsi="Times New Roman" w:eastAsia="楷体" w:cs="Times New Roman"/>
          <w:sz w:val="28"/>
          <w:szCs w:val="28"/>
        </w:rPr>
        <w:t>2.3.1 环境影响评价等级的划分</w:t>
      </w:r>
      <w:bookmarkEnd w:id="18"/>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（1）环境空气</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w:t>
      </w:r>
      <w:r>
        <w:rPr>
          <w:rFonts w:hint="eastAsia" w:ascii="Times New Roman" w:hAnsi="Times New Roman" w:eastAsia="宋体" w:cs="Times New Roman"/>
          <w:sz w:val="24"/>
          <w:szCs w:val="24"/>
        </w:rPr>
        <w:t>报告采用</w:t>
      </w:r>
      <w:r>
        <w:rPr>
          <w:rFonts w:ascii="Times New Roman" w:hAnsi="Times New Roman" w:eastAsia="宋体" w:cs="Times New Roman"/>
          <w:sz w:val="24"/>
          <w:szCs w:val="24"/>
        </w:rPr>
        <w:t>《环境影响评价技术导则</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大气环境》（HJ2.2-2018）附录A中推荐的估算</w:t>
      </w:r>
      <w:r>
        <w:rPr>
          <w:rFonts w:hint="eastAsia" w:ascii="Times New Roman" w:hAnsi="Times New Roman" w:eastAsia="宋体" w:cs="Times New Roman"/>
          <w:sz w:val="24"/>
          <w:szCs w:val="24"/>
        </w:rPr>
        <w:t>模型AERSCREEN</w:t>
      </w:r>
      <w:r>
        <w:rPr>
          <w:rFonts w:ascii="Times New Roman" w:hAnsi="Times New Roman" w:eastAsia="宋体" w:cs="Times New Roman"/>
          <w:sz w:val="24"/>
          <w:szCs w:val="24"/>
        </w:rPr>
        <w:t>，</w:t>
      </w:r>
      <w:r>
        <w:rPr>
          <w:rFonts w:hint="eastAsia" w:ascii="Times New Roman" w:hAnsi="Times New Roman" w:eastAsia="宋体" w:cs="Times New Roman"/>
          <w:sz w:val="24"/>
          <w:szCs w:val="24"/>
        </w:rPr>
        <w:t>确定大气环境影响评价等级和评价范围。根据变更后的源强数据，</w:t>
      </w:r>
      <w:r>
        <w:rPr>
          <w:rFonts w:ascii="Times New Roman" w:hAnsi="Times New Roman" w:eastAsia="宋体" w:cs="Times New Roman"/>
          <w:kern w:val="0"/>
          <w:sz w:val="24"/>
          <w:szCs w:val="24"/>
        </w:rPr>
        <w:t>选取正常排放的污染物及排放参数，采用估算模式计算项目主要污染物的最大地面浓度占标率P</w:t>
      </w:r>
      <w:r>
        <w:rPr>
          <w:rFonts w:ascii="Times New Roman" w:hAnsi="Times New Roman" w:eastAsia="宋体" w:cs="Times New Roman"/>
          <w:kern w:val="0"/>
          <w:sz w:val="24"/>
          <w:szCs w:val="24"/>
          <w:vertAlign w:val="subscript"/>
        </w:rPr>
        <w:t>i</w:t>
      </w:r>
      <w:r>
        <w:rPr>
          <w:rFonts w:ascii="Times New Roman" w:hAnsi="Times New Roman" w:eastAsia="宋体" w:cs="Times New Roman"/>
          <w:kern w:val="0"/>
          <w:sz w:val="24"/>
          <w:szCs w:val="24"/>
        </w:rPr>
        <w:t>（第i个污染物）及第i个污染物的地面浓度达到标准限值10%时所对应的最远距离D</w:t>
      </w:r>
      <w:r>
        <w:rPr>
          <w:rFonts w:ascii="Times New Roman" w:hAnsi="Times New Roman" w:eastAsia="宋体" w:cs="Times New Roman"/>
          <w:kern w:val="0"/>
          <w:sz w:val="24"/>
          <w:szCs w:val="24"/>
          <w:vertAlign w:val="subscript"/>
        </w:rPr>
        <w:t>10%</w:t>
      </w:r>
      <w:r>
        <w:rPr>
          <w:rFonts w:ascii="Times New Roman" w:hAnsi="Times New Roman" w:eastAsia="宋体" w:cs="Times New Roman"/>
          <w:kern w:val="0"/>
          <w:sz w:val="24"/>
          <w:szCs w:val="24"/>
        </w:rPr>
        <w:t>。P</w:t>
      </w:r>
      <w:r>
        <w:rPr>
          <w:rFonts w:ascii="Times New Roman" w:hAnsi="Times New Roman" w:eastAsia="宋体" w:cs="Times New Roman"/>
          <w:kern w:val="0"/>
          <w:sz w:val="24"/>
          <w:szCs w:val="24"/>
          <w:vertAlign w:val="subscript"/>
        </w:rPr>
        <w:t>i</w:t>
      </w:r>
      <w:r>
        <w:rPr>
          <w:rFonts w:ascii="Times New Roman" w:hAnsi="Times New Roman" w:eastAsia="宋体" w:cs="Times New Roman"/>
          <w:kern w:val="0"/>
          <w:sz w:val="24"/>
          <w:szCs w:val="24"/>
        </w:rPr>
        <w:t>定义为：</w:t>
      </w:r>
    </w:p>
    <w:p>
      <w:pPr>
        <w:spacing w:line="360" w:lineRule="auto"/>
        <w:ind w:firstLine="420" w:firstLineChars="200"/>
        <w:jc w:val="center"/>
        <w:rPr>
          <w:rFonts w:ascii="Times New Roman" w:hAnsi="Times New Roman" w:eastAsia="宋体" w:cs="Times New Roman"/>
          <w:kern w:val="0"/>
          <w:sz w:val="24"/>
          <w:szCs w:val="24"/>
        </w:rPr>
      </w:pPr>
      <w:r>
        <w:rPr>
          <w:rFonts w:ascii="Times New Roman" w:hAnsi="Times New Roman" w:eastAsia="宋体" w:cs="Times New Roman"/>
          <w:position w:val="-30"/>
        </w:rPr>
        <w:object>
          <v:shape id="_x0000_i1025" o:spt="75" type="#_x0000_t75" style="height:38.55pt;width:87.4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pPr>
        <w:spacing w:line="48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式中：</w:t>
      </w:r>
    </w:p>
    <w:p>
      <w:pPr>
        <w:spacing w:line="48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P</w:t>
      </w:r>
      <w:r>
        <w:rPr>
          <w:rFonts w:ascii="Times New Roman" w:hAnsi="Times New Roman" w:eastAsia="宋体" w:cs="Times New Roman"/>
          <w:kern w:val="0"/>
          <w:sz w:val="24"/>
          <w:szCs w:val="24"/>
          <w:vertAlign w:val="subscript"/>
        </w:rPr>
        <w:t>i</w:t>
      </w:r>
      <w:r>
        <w:rPr>
          <w:rFonts w:ascii="Times New Roman" w:hAnsi="Times New Roman" w:eastAsia="宋体" w:cs="Times New Roman"/>
          <w:kern w:val="0"/>
          <w:sz w:val="24"/>
          <w:szCs w:val="24"/>
        </w:rPr>
        <w:t>—</w:t>
      </w:r>
      <w:r>
        <w:rPr>
          <w:rFonts w:ascii="Times New Roman" w:hAnsi="Times New Roman" w:eastAsia="宋体" w:cs="Times New Roman"/>
          <w:sz w:val="24"/>
          <w:szCs w:val="24"/>
        </w:rPr>
        <w:t>第i个污染物的最大地面空气质量浓度占标率，%；</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C</w:t>
      </w:r>
      <w:r>
        <w:rPr>
          <w:rFonts w:ascii="Times New Roman" w:hAnsi="Times New Roman" w:eastAsia="宋体" w:cs="Times New Roman"/>
          <w:kern w:val="0"/>
          <w:sz w:val="24"/>
          <w:szCs w:val="24"/>
          <w:vertAlign w:val="subscript"/>
        </w:rPr>
        <w:t>i</w:t>
      </w:r>
      <w:r>
        <w:rPr>
          <w:rFonts w:ascii="Times New Roman" w:hAnsi="Times New Roman" w:eastAsia="宋体" w:cs="Times New Roman"/>
          <w:kern w:val="0"/>
          <w:sz w:val="24"/>
          <w:szCs w:val="24"/>
        </w:rPr>
        <w:t>—</w:t>
      </w:r>
      <w:r>
        <w:rPr>
          <w:rFonts w:ascii="Times New Roman" w:hAnsi="Times New Roman" w:eastAsia="宋体" w:cs="Times New Roman"/>
          <w:sz w:val="24"/>
          <w:szCs w:val="24"/>
        </w:rPr>
        <w:t>采用估算模式计算出的第i个污染物的最大1h地面空气质量浓度，</w:t>
      </w:r>
      <w:r>
        <w:rPr>
          <w:rFonts w:ascii="Times New Roman" w:hAnsi="Times New Roman" w:eastAsia="宋体" w:cs="Times New Roman"/>
          <w:sz w:val="24"/>
          <w:szCs w:val="24"/>
          <w:shd w:val="clear" w:color="auto" w:fill="FFFFFF"/>
        </w:rPr>
        <w:t>μg</w:t>
      </w:r>
      <w:r>
        <w:rPr>
          <w:rFonts w:ascii="Times New Roman" w:hAnsi="Times New Roman" w:eastAsia="宋体" w:cs="Times New Roman"/>
          <w:sz w:val="24"/>
          <w:szCs w:val="24"/>
        </w:rPr>
        <w:t xml:space="preserve"> /m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C</w:t>
      </w:r>
      <w:r>
        <w:rPr>
          <w:rFonts w:ascii="Times New Roman" w:hAnsi="Times New Roman" w:eastAsia="宋体" w:cs="Times New Roman"/>
          <w:kern w:val="0"/>
          <w:sz w:val="24"/>
          <w:szCs w:val="24"/>
          <w:vertAlign w:val="subscript"/>
        </w:rPr>
        <w:t>0i</w:t>
      </w:r>
      <w:r>
        <w:rPr>
          <w:rFonts w:ascii="Times New Roman" w:hAnsi="Times New Roman" w:eastAsia="宋体" w:cs="Times New Roman"/>
          <w:kern w:val="0"/>
          <w:sz w:val="24"/>
          <w:szCs w:val="24"/>
        </w:rPr>
        <w:t>—</w:t>
      </w:r>
      <w:r>
        <w:rPr>
          <w:rFonts w:ascii="Times New Roman" w:hAnsi="Times New Roman" w:eastAsia="宋体" w:cs="Times New Roman"/>
          <w:sz w:val="24"/>
          <w:szCs w:val="24"/>
        </w:rPr>
        <w:t>第i个污染物的环境空气质量标准，</w:t>
      </w:r>
      <w:r>
        <w:rPr>
          <w:rFonts w:ascii="Times New Roman" w:hAnsi="Times New Roman" w:eastAsia="宋体" w:cs="Times New Roman"/>
          <w:sz w:val="24"/>
          <w:szCs w:val="24"/>
          <w:shd w:val="clear" w:color="auto" w:fill="FFFFFF"/>
        </w:rPr>
        <w:t>μg</w:t>
      </w:r>
      <w:r>
        <w:rPr>
          <w:rFonts w:ascii="Times New Roman" w:hAnsi="Times New Roman" w:eastAsia="宋体" w:cs="Times New Roman"/>
          <w:sz w:val="24"/>
          <w:szCs w:val="24"/>
        </w:rPr>
        <w:t xml:space="preserve"> /m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w:t>
      </w:r>
    </w:p>
    <w:p>
      <w:pPr>
        <w:spacing w:line="480" w:lineRule="exact"/>
        <w:ind w:firstLine="480" w:firstLineChars="200"/>
        <w:rPr>
          <w:rFonts w:ascii="Times New Roman" w:hAnsi="Times New Roman" w:eastAsia="黑体" w:cs="Times New Roman"/>
          <w:sz w:val="24"/>
        </w:rPr>
      </w:pPr>
      <w:bookmarkStart w:id="19" w:name="_Toc409016486"/>
      <w:bookmarkStart w:id="20" w:name="_Toc443926407"/>
      <w:r>
        <w:rPr>
          <w:rFonts w:ascii="Times New Roman" w:hAnsi="Times New Roman" w:eastAsia="黑体" w:cs="Times New Roman"/>
          <w:sz w:val="24"/>
        </w:rPr>
        <w:t xml:space="preserve">表2.3-1         </w:t>
      </w:r>
      <w:r>
        <w:rPr>
          <w:rFonts w:hint="eastAsia" w:ascii="Times New Roman" w:hAnsi="Times New Roman" w:eastAsia="黑体" w:cs="Times New Roman"/>
          <w:sz w:val="24"/>
        </w:rPr>
        <w:t xml:space="preserve">   </w:t>
      </w:r>
      <w:r>
        <w:rPr>
          <w:rFonts w:ascii="Times New Roman" w:hAnsi="Times New Roman" w:eastAsia="黑体" w:cs="Times New Roman"/>
          <w:sz w:val="24"/>
        </w:rPr>
        <w:t xml:space="preserve"> 大气环境评价工作等级</w:t>
      </w:r>
      <w:bookmarkEnd w:id="19"/>
      <w:bookmarkEnd w:id="20"/>
      <w:r>
        <w:rPr>
          <w:rFonts w:hint="eastAsia" w:ascii="Times New Roman" w:hAnsi="Times New Roman" w:eastAsia="黑体" w:cs="Times New Roman"/>
          <w:sz w:val="24"/>
        </w:rPr>
        <w:t>一览表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5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91" w:type="dxa"/>
            <w:vAlign w:val="center"/>
          </w:tcPr>
          <w:p>
            <w:pPr>
              <w:spacing w:line="240" w:lineRule="exact"/>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评价工作等级</w:t>
            </w:r>
          </w:p>
        </w:tc>
        <w:tc>
          <w:tcPr>
            <w:tcW w:w="5831" w:type="dxa"/>
            <w:vAlign w:val="center"/>
          </w:tcPr>
          <w:p>
            <w:pPr>
              <w:spacing w:line="240" w:lineRule="exact"/>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91" w:type="dxa"/>
            <w:vAlign w:val="center"/>
          </w:tcPr>
          <w:p>
            <w:pPr>
              <w:spacing w:line="240" w:lineRule="exact"/>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一级</w:t>
            </w:r>
          </w:p>
        </w:tc>
        <w:tc>
          <w:tcPr>
            <w:tcW w:w="5831" w:type="dxa"/>
            <w:vAlign w:val="center"/>
          </w:tcPr>
          <w:p>
            <w:pPr>
              <w:spacing w:line="240" w:lineRule="exact"/>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91" w:type="dxa"/>
            <w:vAlign w:val="center"/>
          </w:tcPr>
          <w:p>
            <w:pPr>
              <w:spacing w:line="240" w:lineRule="exact"/>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二级</w:t>
            </w:r>
          </w:p>
        </w:tc>
        <w:tc>
          <w:tcPr>
            <w:tcW w:w="5831" w:type="dxa"/>
            <w:vAlign w:val="center"/>
          </w:tcPr>
          <w:p>
            <w:pPr>
              <w:spacing w:line="240" w:lineRule="exact"/>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1%≤Pmax</w:t>
            </w:r>
            <w:r>
              <w:rPr>
                <w:rFonts w:hint="eastAsia" w:ascii="Times New Roman" w:hAnsi="Times New Roman" w:eastAsia="宋体" w:cs="Times New Roman"/>
                <w:szCs w:val="21"/>
              </w:rPr>
              <w:t>＜</w:t>
            </w:r>
            <w:r>
              <w:rPr>
                <w:rFonts w:ascii="Times New Roman" w:hAnsi="Times New Roman" w:eastAsia="宋体" w:cs="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91" w:type="dxa"/>
            <w:vAlign w:val="center"/>
          </w:tcPr>
          <w:p>
            <w:pPr>
              <w:spacing w:line="240" w:lineRule="exact"/>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三级</w:t>
            </w:r>
          </w:p>
        </w:tc>
        <w:tc>
          <w:tcPr>
            <w:tcW w:w="5831" w:type="dxa"/>
            <w:vAlign w:val="center"/>
          </w:tcPr>
          <w:p>
            <w:pPr>
              <w:spacing w:line="240" w:lineRule="exact"/>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Pmax&lt;1%</w:t>
            </w:r>
          </w:p>
        </w:tc>
      </w:tr>
    </w:tbl>
    <w:p>
      <w:pPr>
        <w:spacing w:line="48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估算模式中计算参数选取见表2.3-2，计算结果见表2.3-3。</w:t>
      </w:r>
    </w:p>
    <w:p>
      <w:pPr>
        <w:spacing w:line="480" w:lineRule="exact"/>
        <w:ind w:firstLine="480" w:firstLineChars="200"/>
        <w:rPr>
          <w:rFonts w:ascii="Times New Roman" w:hAnsi="Times New Roman" w:eastAsia="黑体" w:cs="Times New Roman"/>
          <w:sz w:val="24"/>
        </w:rPr>
      </w:pPr>
      <w:bookmarkStart w:id="21" w:name="_Toc443926408"/>
      <w:bookmarkStart w:id="22" w:name="_Toc409016487"/>
      <w:r>
        <w:rPr>
          <w:rFonts w:ascii="Times New Roman" w:hAnsi="Times New Roman" w:eastAsia="黑体" w:cs="Times New Roman"/>
          <w:sz w:val="24"/>
        </w:rPr>
        <w:t xml:space="preserve">表2.3-2        </w:t>
      </w:r>
      <w:r>
        <w:rPr>
          <w:rFonts w:hint="eastAsia" w:ascii="Times New Roman" w:hAnsi="Times New Roman" w:eastAsia="黑体" w:cs="Times New Roman"/>
          <w:sz w:val="24"/>
        </w:rPr>
        <w:t xml:space="preserve">   </w:t>
      </w:r>
      <w:r>
        <w:rPr>
          <w:rFonts w:ascii="Times New Roman" w:hAnsi="Times New Roman" w:eastAsia="黑体" w:cs="Times New Roman"/>
          <w:sz w:val="24"/>
        </w:rPr>
        <w:t xml:space="preserve"> 估算模式计算参数选取</w:t>
      </w:r>
      <w:bookmarkEnd w:id="21"/>
      <w:bookmarkEnd w:id="22"/>
      <w:r>
        <w:rPr>
          <w:rFonts w:hint="eastAsia" w:ascii="Times New Roman" w:hAnsi="Times New Roman" w:eastAsia="黑体" w:cs="Times New Roman"/>
          <w:sz w:val="24"/>
        </w:rPr>
        <w:t>一览表</w:t>
      </w:r>
    </w:p>
    <w:tbl>
      <w:tblPr>
        <w:tblStyle w:val="19"/>
        <w:tblW w:w="8296" w:type="dxa"/>
        <w:tblInd w:w="0" w:type="dxa"/>
        <w:tblLayout w:type="fixed"/>
        <w:tblCellMar>
          <w:top w:w="15" w:type="dxa"/>
          <w:left w:w="15" w:type="dxa"/>
          <w:bottom w:w="15" w:type="dxa"/>
          <w:right w:w="15" w:type="dxa"/>
        </w:tblCellMar>
      </w:tblPr>
      <w:tblGrid>
        <w:gridCol w:w="2772"/>
        <w:gridCol w:w="3440"/>
        <w:gridCol w:w="2084"/>
      </w:tblGrid>
      <w:tr>
        <w:tblPrEx>
          <w:tblLayout w:type="fixed"/>
          <w:tblCellMar>
            <w:top w:w="15" w:type="dxa"/>
            <w:left w:w="15" w:type="dxa"/>
            <w:bottom w:w="15" w:type="dxa"/>
            <w:right w:w="15" w:type="dxa"/>
          </w:tblCellMar>
        </w:tblPrEx>
        <w:tc>
          <w:tcPr>
            <w:tcW w:w="621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参数</w:t>
            </w:r>
          </w:p>
        </w:tc>
        <w:tc>
          <w:tcPr>
            <w:tcW w:w="2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取值</w:t>
            </w:r>
          </w:p>
        </w:tc>
      </w:tr>
      <w:tr>
        <w:tblPrEx>
          <w:tblLayout w:type="fixed"/>
          <w:tblCellMar>
            <w:top w:w="15" w:type="dxa"/>
            <w:left w:w="15" w:type="dxa"/>
            <w:bottom w:w="15" w:type="dxa"/>
            <w:right w:w="15" w:type="dxa"/>
          </w:tblCellMar>
        </w:tblPrEx>
        <w:tc>
          <w:tcPr>
            <w:tcW w:w="277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城市/农村选项</w:t>
            </w:r>
          </w:p>
        </w:tc>
        <w:tc>
          <w:tcPr>
            <w:tcW w:w="34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城市/农村</w:t>
            </w:r>
          </w:p>
        </w:tc>
        <w:tc>
          <w:tcPr>
            <w:tcW w:w="2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农村</w:t>
            </w:r>
          </w:p>
        </w:tc>
      </w:tr>
      <w:tr>
        <w:tblPrEx>
          <w:tblLayout w:type="fixed"/>
          <w:tblCellMar>
            <w:top w:w="15" w:type="dxa"/>
            <w:left w:w="15" w:type="dxa"/>
            <w:bottom w:w="15" w:type="dxa"/>
            <w:right w:w="15" w:type="dxa"/>
          </w:tblCellMar>
        </w:tblPrEx>
        <w:tc>
          <w:tcPr>
            <w:tcW w:w="277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Times New Roman" w:hAnsi="Times New Roman" w:eastAsia="宋体" w:cs="Times New Roman"/>
                <w:kern w:val="0"/>
                <w:szCs w:val="21"/>
              </w:rPr>
            </w:pPr>
          </w:p>
        </w:tc>
        <w:tc>
          <w:tcPr>
            <w:tcW w:w="34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人口数（城市选项时）</w:t>
            </w:r>
          </w:p>
        </w:tc>
        <w:tc>
          <w:tcPr>
            <w:tcW w:w="2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Layout w:type="fixed"/>
          <w:tblCellMar>
            <w:top w:w="15" w:type="dxa"/>
            <w:left w:w="15" w:type="dxa"/>
            <w:bottom w:w="15" w:type="dxa"/>
            <w:right w:w="15" w:type="dxa"/>
          </w:tblCellMar>
        </w:tblPrEx>
        <w:tc>
          <w:tcPr>
            <w:tcW w:w="621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最高环境温度/</w:t>
            </w:r>
            <w:r>
              <w:rPr>
                <w:rFonts w:hint="eastAsia" w:ascii="宋体" w:hAnsi="宋体" w:eastAsia="宋体" w:cs="宋体"/>
                <w:kern w:val="0"/>
                <w:szCs w:val="21"/>
              </w:rPr>
              <w:t>℃</w:t>
            </w:r>
          </w:p>
        </w:tc>
        <w:tc>
          <w:tcPr>
            <w:tcW w:w="2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42.2</w:t>
            </w:r>
            <w:r>
              <w:rPr>
                <w:rFonts w:hint="eastAsia" w:ascii="宋体" w:hAnsi="宋体" w:eastAsia="宋体" w:cs="宋体"/>
                <w:kern w:val="0"/>
                <w:szCs w:val="21"/>
              </w:rPr>
              <w:t>℃</w:t>
            </w:r>
          </w:p>
        </w:tc>
      </w:tr>
      <w:tr>
        <w:tblPrEx>
          <w:tblLayout w:type="fixed"/>
          <w:tblCellMar>
            <w:top w:w="15" w:type="dxa"/>
            <w:left w:w="15" w:type="dxa"/>
            <w:bottom w:w="15" w:type="dxa"/>
            <w:right w:w="15" w:type="dxa"/>
          </w:tblCellMar>
        </w:tblPrEx>
        <w:tc>
          <w:tcPr>
            <w:tcW w:w="621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最低环境温度/</w:t>
            </w:r>
            <w:r>
              <w:rPr>
                <w:rFonts w:hint="eastAsia" w:ascii="宋体" w:hAnsi="宋体" w:eastAsia="宋体" w:cs="宋体"/>
                <w:kern w:val="0"/>
                <w:szCs w:val="21"/>
              </w:rPr>
              <w:t>℃</w:t>
            </w:r>
          </w:p>
        </w:tc>
        <w:tc>
          <w:tcPr>
            <w:tcW w:w="2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-20.7</w:t>
            </w:r>
            <w:r>
              <w:rPr>
                <w:rFonts w:hint="eastAsia" w:ascii="宋体" w:hAnsi="宋体" w:eastAsia="宋体" w:cs="宋体"/>
                <w:kern w:val="0"/>
                <w:szCs w:val="21"/>
              </w:rPr>
              <w:t>℃</w:t>
            </w:r>
          </w:p>
        </w:tc>
      </w:tr>
      <w:tr>
        <w:tblPrEx>
          <w:tblLayout w:type="fixed"/>
          <w:tblCellMar>
            <w:top w:w="15" w:type="dxa"/>
            <w:left w:w="15" w:type="dxa"/>
            <w:bottom w:w="15" w:type="dxa"/>
            <w:right w:w="15" w:type="dxa"/>
          </w:tblCellMar>
        </w:tblPrEx>
        <w:tc>
          <w:tcPr>
            <w:tcW w:w="621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土地利用类型</w:t>
            </w:r>
          </w:p>
        </w:tc>
        <w:tc>
          <w:tcPr>
            <w:tcW w:w="2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草地</w:t>
            </w:r>
          </w:p>
        </w:tc>
      </w:tr>
      <w:tr>
        <w:tblPrEx>
          <w:tblLayout w:type="fixed"/>
          <w:tblCellMar>
            <w:top w:w="15" w:type="dxa"/>
            <w:left w:w="15" w:type="dxa"/>
            <w:bottom w:w="15" w:type="dxa"/>
            <w:right w:w="15" w:type="dxa"/>
          </w:tblCellMar>
        </w:tblPrEx>
        <w:tc>
          <w:tcPr>
            <w:tcW w:w="621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区域湿度条件</w:t>
            </w:r>
          </w:p>
        </w:tc>
        <w:tc>
          <w:tcPr>
            <w:tcW w:w="2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中等湿度气候</w:t>
            </w:r>
          </w:p>
        </w:tc>
      </w:tr>
      <w:tr>
        <w:tblPrEx>
          <w:tblLayout w:type="fixed"/>
          <w:tblCellMar>
            <w:top w:w="15" w:type="dxa"/>
            <w:left w:w="15" w:type="dxa"/>
            <w:bottom w:w="15" w:type="dxa"/>
            <w:right w:w="15" w:type="dxa"/>
          </w:tblCellMar>
        </w:tblPrEx>
        <w:tc>
          <w:tcPr>
            <w:tcW w:w="277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是否考虑地形</w:t>
            </w:r>
          </w:p>
        </w:tc>
        <w:tc>
          <w:tcPr>
            <w:tcW w:w="34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考虑地形</w:t>
            </w:r>
          </w:p>
        </w:tc>
        <w:tc>
          <w:tcPr>
            <w:tcW w:w="2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否</w:t>
            </w:r>
          </w:p>
        </w:tc>
      </w:tr>
      <w:tr>
        <w:tblPrEx>
          <w:tblLayout w:type="fixed"/>
          <w:tblCellMar>
            <w:top w:w="15" w:type="dxa"/>
            <w:left w:w="15" w:type="dxa"/>
            <w:bottom w:w="15" w:type="dxa"/>
            <w:right w:w="15" w:type="dxa"/>
          </w:tblCellMar>
        </w:tblPrEx>
        <w:tc>
          <w:tcPr>
            <w:tcW w:w="277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Times New Roman" w:hAnsi="Times New Roman" w:eastAsia="宋体" w:cs="Times New Roman"/>
                <w:kern w:val="0"/>
                <w:szCs w:val="21"/>
              </w:rPr>
            </w:pPr>
          </w:p>
        </w:tc>
        <w:tc>
          <w:tcPr>
            <w:tcW w:w="34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地形数据分辨率/m</w:t>
            </w:r>
          </w:p>
        </w:tc>
        <w:tc>
          <w:tcPr>
            <w:tcW w:w="2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Layout w:type="fixed"/>
          <w:tblCellMar>
            <w:top w:w="15" w:type="dxa"/>
            <w:left w:w="15" w:type="dxa"/>
            <w:bottom w:w="15" w:type="dxa"/>
            <w:right w:w="15" w:type="dxa"/>
          </w:tblCellMar>
        </w:tblPrEx>
        <w:tc>
          <w:tcPr>
            <w:tcW w:w="277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是否考虑岸线熏烟</w:t>
            </w:r>
          </w:p>
        </w:tc>
        <w:tc>
          <w:tcPr>
            <w:tcW w:w="34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考虑岸线熏烟</w:t>
            </w:r>
          </w:p>
        </w:tc>
        <w:tc>
          <w:tcPr>
            <w:tcW w:w="2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否</w:t>
            </w:r>
          </w:p>
        </w:tc>
      </w:tr>
      <w:tr>
        <w:tblPrEx>
          <w:tblLayout w:type="fixed"/>
          <w:tblCellMar>
            <w:top w:w="15" w:type="dxa"/>
            <w:left w:w="15" w:type="dxa"/>
            <w:bottom w:w="15" w:type="dxa"/>
            <w:right w:w="15" w:type="dxa"/>
          </w:tblCellMar>
        </w:tblPrEx>
        <w:tc>
          <w:tcPr>
            <w:tcW w:w="277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Times New Roman" w:hAnsi="Times New Roman" w:eastAsia="宋体" w:cs="Times New Roman"/>
                <w:kern w:val="0"/>
                <w:szCs w:val="21"/>
              </w:rPr>
            </w:pPr>
          </w:p>
        </w:tc>
        <w:tc>
          <w:tcPr>
            <w:tcW w:w="34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岸线距离/km</w:t>
            </w:r>
          </w:p>
        </w:tc>
        <w:tc>
          <w:tcPr>
            <w:tcW w:w="2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Layout w:type="fixed"/>
          <w:tblCellMar>
            <w:top w:w="15" w:type="dxa"/>
            <w:left w:w="15" w:type="dxa"/>
            <w:bottom w:w="15" w:type="dxa"/>
            <w:right w:w="15" w:type="dxa"/>
          </w:tblCellMar>
        </w:tblPrEx>
        <w:tc>
          <w:tcPr>
            <w:tcW w:w="277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Times New Roman" w:hAnsi="Times New Roman" w:eastAsia="宋体" w:cs="Times New Roman"/>
                <w:kern w:val="0"/>
                <w:szCs w:val="21"/>
              </w:rPr>
            </w:pPr>
          </w:p>
        </w:tc>
        <w:tc>
          <w:tcPr>
            <w:tcW w:w="34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岸线方向/°</w:t>
            </w:r>
          </w:p>
        </w:tc>
        <w:tc>
          <w:tcPr>
            <w:tcW w:w="20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bl>
    <w:p>
      <w:pPr>
        <w:spacing w:line="480" w:lineRule="exact"/>
        <w:ind w:firstLine="480" w:firstLineChars="200"/>
        <w:rPr>
          <w:rFonts w:ascii="Times New Roman" w:hAnsi="Times New Roman" w:eastAsia="黑体" w:cs="Times New Roman"/>
          <w:sz w:val="24"/>
        </w:rPr>
      </w:pPr>
      <w:r>
        <w:rPr>
          <w:rFonts w:ascii="Times New Roman" w:hAnsi="Times New Roman" w:eastAsia="黑体" w:cs="Times New Roman"/>
          <w:sz w:val="24"/>
        </w:rPr>
        <w:t>表</w:t>
      </w:r>
      <w:r>
        <w:rPr>
          <w:rFonts w:hint="eastAsia" w:ascii="Times New Roman" w:hAnsi="Times New Roman" w:eastAsia="黑体" w:cs="Times New Roman"/>
          <w:sz w:val="24"/>
        </w:rPr>
        <w:t>2.</w:t>
      </w:r>
      <w:r>
        <w:rPr>
          <w:rFonts w:ascii="Times New Roman" w:hAnsi="Times New Roman" w:eastAsia="黑体" w:cs="Times New Roman"/>
          <w:sz w:val="24"/>
        </w:rPr>
        <w:t>3</w:t>
      </w:r>
      <w:r>
        <w:rPr>
          <w:rFonts w:hint="eastAsia" w:ascii="Times New Roman" w:hAnsi="Times New Roman" w:eastAsia="黑体" w:cs="Times New Roman"/>
          <w:sz w:val="24"/>
        </w:rPr>
        <w:t>-</w:t>
      </w:r>
      <w:r>
        <w:rPr>
          <w:rFonts w:ascii="Times New Roman" w:hAnsi="Times New Roman" w:eastAsia="黑体" w:cs="Times New Roman"/>
          <w:sz w:val="24"/>
        </w:rPr>
        <w:t>3</w:t>
      </w:r>
      <w:r>
        <w:rPr>
          <w:rFonts w:hint="eastAsia" w:ascii="Times New Roman" w:hAnsi="Times New Roman" w:eastAsia="黑体" w:cs="Times New Roman"/>
          <w:sz w:val="24"/>
        </w:rPr>
        <w:t xml:space="preserve">       </w:t>
      </w:r>
      <w:r>
        <w:rPr>
          <w:rFonts w:ascii="Times New Roman" w:hAnsi="Times New Roman" w:eastAsia="黑体" w:cs="Times New Roman"/>
          <w:sz w:val="24"/>
        </w:rPr>
        <w:t>确定大气评价等级估算模式计算结果一览表</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185"/>
        <w:gridCol w:w="1185"/>
        <w:gridCol w:w="1185"/>
        <w:gridCol w:w="1185"/>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排放方式</w:t>
            </w:r>
          </w:p>
        </w:tc>
        <w:tc>
          <w:tcPr>
            <w:tcW w:w="118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污染源名称</w:t>
            </w:r>
          </w:p>
        </w:tc>
        <w:tc>
          <w:tcPr>
            <w:tcW w:w="118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污染物</w:t>
            </w:r>
          </w:p>
        </w:tc>
        <w:tc>
          <w:tcPr>
            <w:tcW w:w="118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Pmax（%）</w:t>
            </w:r>
          </w:p>
        </w:tc>
        <w:tc>
          <w:tcPr>
            <w:tcW w:w="118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D10%（m）</w:t>
            </w:r>
          </w:p>
        </w:tc>
        <w:tc>
          <w:tcPr>
            <w:tcW w:w="118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最大值出现距离（m）</w:t>
            </w:r>
          </w:p>
        </w:tc>
        <w:tc>
          <w:tcPr>
            <w:tcW w:w="118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有组织</w:t>
            </w:r>
          </w:p>
        </w:tc>
        <w:tc>
          <w:tcPr>
            <w:tcW w:w="1185"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减压炉</w:t>
            </w:r>
          </w:p>
        </w:tc>
        <w:tc>
          <w:tcPr>
            <w:tcW w:w="1185"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SO</w:t>
            </w:r>
            <w:r>
              <w:rPr>
                <w:rFonts w:ascii="Times New Roman" w:hAnsi="Times New Roman" w:eastAsia="宋体"/>
                <w:kern w:val="0"/>
                <w:szCs w:val="21"/>
                <w:vertAlign w:val="subscript"/>
              </w:rPr>
              <w:t>2</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0.52</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85"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336</w:t>
            </w:r>
          </w:p>
        </w:tc>
        <w:tc>
          <w:tcPr>
            <w:tcW w:w="1185"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NO</w:t>
            </w:r>
            <w:r>
              <w:rPr>
                <w:rFonts w:ascii="Times New Roman" w:hAnsi="Times New Roman" w:eastAsia="宋体"/>
                <w:kern w:val="0"/>
                <w:szCs w:val="21"/>
                <w:vertAlign w:val="subscript"/>
              </w:rPr>
              <w:t>2</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1.00</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PM</w:t>
            </w:r>
            <w:r>
              <w:rPr>
                <w:rFonts w:hint="eastAsia" w:ascii="Times New Roman" w:hAnsi="Times New Roman" w:eastAsia="宋体" w:cs="Times New Roman"/>
                <w:szCs w:val="21"/>
                <w:vertAlign w:val="subscript"/>
              </w:rPr>
              <w:t>10</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0.18</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导热油炉</w:t>
            </w:r>
          </w:p>
        </w:tc>
        <w:tc>
          <w:tcPr>
            <w:tcW w:w="1185"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SO</w:t>
            </w:r>
            <w:r>
              <w:rPr>
                <w:rFonts w:ascii="Times New Roman" w:hAnsi="Times New Roman" w:eastAsia="宋体"/>
                <w:kern w:val="0"/>
                <w:szCs w:val="21"/>
                <w:vertAlign w:val="subscript"/>
              </w:rPr>
              <w:t>2</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0.02</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85"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447</w:t>
            </w: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NO</w:t>
            </w:r>
            <w:r>
              <w:rPr>
                <w:rFonts w:ascii="Times New Roman" w:hAnsi="Times New Roman" w:eastAsia="宋体"/>
                <w:kern w:val="0"/>
                <w:szCs w:val="21"/>
                <w:vertAlign w:val="subscript"/>
              </w:rPr>
              <w:t>2</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1.47</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PM</w:t>
            </w:r>
            <w:r>
              <w:rPr>
                <w:rFonts w:hint="eastAsia" w:ascii="Times New Roman" w:hAnsi="Times New Roman" w:eastAsia="宋体" w:cs="Times New Roman"/>
                <w:szCs w:val="21"/>
                <w:vertAlign w:val="subscript"/>
              </w:rPr>
              <w:t>10</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0.25</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罐区</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非甲烷总烃</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0.78</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80</w:t>
            </w: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污水站</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非甲烷总烃</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0.01</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85"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70</w:t>
            </w: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NH</w:t>
            </w:r>
            <w:r>
              <w:rPr>
                <w:rFonts w:ascii="Times New Roman" w:hAnsi="Times New Roman" w:eastAsia="宋体"/>
                <w:kern w:val="0"/>
                <w:szCs w:val="21"/>
                <w:vertAlign w:val="subscript"/>
              </w:rPr>
              <w:t>3</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0.26</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H</w:t>
            </w:r>
            <w:r>
              <w:rPr>
                <w:rFonts w:ascii="Times New Roman" w:hAnsi="Times New Roman" w:eastAsia="宋体"/>
                <w:kern w:val="0"/>
                <w:szCs w:val="21"/>
                <w:vertAlign w:val="subscript"/>
              </w:rPr>
              <w:t>2</w:t>
            </w:r>
            <w:r>
              <w:rPr>
                <w:rFonts w:ascii="Times New Roman" w:hAnsi="Times New Roman" w:eastAsia="宋体"/>
                <w:kern w:val="0"/>
                <w:szCs w:val="21"/>
              </w:rPr>
              <w:t>S</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0.24</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无组织</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装卸平台</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非甲烷总烃</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0.24</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25</w:t>
            </w: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污水站</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非甲烷总烃</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0.09</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96</w:t>
            </w: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NH</w:t>
            </w:r>
            <w:r>
              <w:rPr>
                <w:rFonts w:ascii="Times New Roman" w:hAnsi="Times New Roman" w:eastAsia="宋体"/>
                <w:kern w:val="0"/>
                <w:szCs w:val="21"/>
                <w:vertAlign w:val="subscript"/>
              </w:rPr>
              <w:t>3</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28.27</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275</w:t>
            </w:r>
          </w:p>
        </w:tc>
        <w:tc>
          <w:tcPr>
            <w:tcW w:w="1185"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30</w:t>
            </w: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H</w:t>
            </w:r>
            <w:r>
              <w:rPr>
                <w:rFonts w:ascii="Times New Roman" w:hAnsi="Times New Roman" w:eastAsia="宋体"/>
                <w:kern w:val="0"/>
                <w:szCs w:val="21"/>
                <w:vertAlign w:val="subscript"/>
              </w:rPr>
              <w:t>2</w:t>
            </w:r>
            <w:r>
              <w:rPr>
                <w:rFonts w:ascii="Times New Roman" w:hAnsi="Times New Roman" w:eastAsia="宋体"/>
                <w:kern w:val="0"/>
                <w:szCs w:val="21"/>
              </w:rPr>
              <w:t>S</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26.45</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275</w:t>
            </w: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r>
    </w:tbl>
    <w:p>
      <w:pPr>
        <w:spacing w:line="480" w:lineRule="exact"/>
        <w:ind w:firstLine="480" w:firstLineChars="200"/>
        <w:rPr>
          <w:rFonts w:ascii="Times New Roman" w:hAnsi="宋体" w:eastAsia="宋体" w:cs="Times New Roman"/>
          <w:bCs/>
          <w:sz w:val="24"/>
          <w:szCs w:val="24"/>
        </w:rPr>
      </w:pPr>
      <w:r>
        <w:rPr>
          <w:rFonts w:ascii="Times New Roman" w:hAnsi="宋体" w:eastAsia="宋体" w:cs="Times New Roman"/>
          <w:bCs/>
          <w:sz w:val="24"/>
          <w:szCs w:val="24"/>
        </w:rPr>
        <w:t>从上表中可以看出，</w:t>
      </w:r>
      <w:r>
        <w:rPr>
          <w:rFonts w:hint="eastAsia" w:ascii="Times New Roman" w:hAnsi="宋体" w:eastAsia="宋体" w:cs="Times New Roman"/>
          <w:bCs/>
          <w:sz w:val="24"/>
          <w:szCs w:val="24"/>
        </w:rPr>
        <w:t>变更后，</w:t>
      </w:r>
      <w:r>
        <w:rPr>
          <w:rFonts w:ascii="Times New Roman" w:hAnsi="宋体" w:eastAsia="宋体" w:cs="Times New Roman"/>
          <w:bCs/>
          <w:sz w:val="24"/>
          <w:szCs w:val="24"/>
        </w:rPr>
        <w:t>本项目正常工况下主要污染物排放中，</w:t>
      </w:r>
      <w:r>
        <w:rPr>
          <w:rFonts w:hint="eastAsia" w:ascii="Times New Roman" w:hAnsi="宋体" w:eastAsia="宋体" w:cs="Times New Roman"/>
          <w:bCs/>
          <w:sz w:val="24"/>
          <w:szCs w:val="24"/>
        </w:rPr>
        <w:t>污水站</w:t>
      </w:r>
      <w:r>
        <w:rPr>
          <w:rFonts w:ascii="Times New Roman" w:hAnsi="宋体" w:eastAsia="宋体" w:cs="Times New Roman"/>
          <w:bCs/>
          <w:sz w:val="24"/>
          <w:szCs w:val="24"/>
        </w:rPr>
        <w:t>面源排放</w:t>
      </w:r>
      <w:r>
        <w:rPr>
          <w:rFonts w:hint="eastAsia" w:ascii="Times New Roman" w:hAnsi="宋体" w:eastAsia="宋体" w:cs="Times New Roman"/>
          <w:bCs/>
          <w:sz w:val="24"/>
          <w:szCs w:val="24"/>
        </w:rPr>
        <w:t>污染物</w:t>
      </w:r>
      <w:r>
        <w:rPr>
          <w:rFonts w:ascii="Times New Roman" w:hAnsi="宋体" w:eastAsia="宋体" w:cs="Times New Roman"/>
          <w:bCs/>
          <w:sz w:val="24"/>
          <w:szCs w:val="24"/>
        </w:rPr>
        <w:t>最大占标率为：28.27%，占标率10%的最远距离D10%：300</w:t>
      </w:r>
      <w:r>
        <w:rPr>
          <w:rFonts w:hint="eastAsia" w:ascii="Times New Roman" w:hAnsi="宋体" w:eastAsia="宋体" w:cs="Times New Roman"/>
          <w:bCs/>
          <w:sz w:val="24"/>
          <w:szCs w:val="24"/>
        </w:rPr>
        <w:t>m</w:t>
      </w:r>
      <w:r>
        <w:rPr>
          <w:rFonts w:ascii="Times New Roman" w:hAnsi="宋体" w:eastAsia="宋体" w:cs="Times New Roman"/>
          <w:bCs/>
          <w:sz w:val="24"/>
          <w:szCs w:val="24"/>
        </w:rPr>
        <w:t>，建议评价范围</w:t>
      </w:r>
      <w:r>
        <w:rPr>
          <w:rFonts w:hint="eastAsia" w:ascii="Times New Roman" w:hAnsi="宋体" w:eastAsia="宋体" w:cs="Times New Roman"/>
          <w:bCs/>
          <w:sz w:val="24"/>
          <w:szCs w:val="24"/>
        </w:rPr>
        <w:t>边长取5km</w:t>
      </w:r>
      <w:r>
        <w:rPr>
          <w:rFonts w:ascii="Times New Roman" w:hAnsi="宋体" w:eastAsia="宋体" w:cs="Times New Roman"/>
          <w:bCs/>
          <w:sz w:val="24"/>
          <w:szCs w:val="24"/>
        </w:rPr>
        <w:t>，最大占标率Pmax≥10%，根据《环境影响评价技术导则大气环境》（HJ2.2-2018）中评价工作分级方法，</w:t>
      </w:r>
      <w:r>
        <w:rPr>
          <w:rFonts w:hint="eastAsia" w:ascii="Times New Roman" w:hAnsi="宋体" w:eastAsia="宋体" w:cs="Times New Roman"/>
          <w:bCs/>
          <w:sz w:val="24"/>
          <w:szCs w:val="24"/>
        </w:rPr>
        <w:t>项目变更后，</w:t>
      </w:r>
      <w:r>
        <w:rPr>
          <w:rFonts w:ascii="Times New Roman" w:hAnsi="宋体" w:eastAsia="宋体" w:cs="Times New Roman"/>
          <w:bCs/>
          <w:sz w:val="24"/>
          <w:szCs w:val="24"/>
        </w:rPr>
        <w:t>大气环境影响评价建议评价等级为</w:t>
      </w:r>
      <w:r>
        <w:rPr>
          <w:rFonts w:hint="eastAsia" w:ascii="Times New Roman" w:hAnsi="宋体" w:eastAsia="宋体" w:cs="Times New Roman"/>
          <w:bCs/>
          <w:sz w:val="24"/>
          <w:szCs w:val="24"/>
        </w:rPr>
        <w:t>一级</w:t>
      </w:r>
      <w:r>
        <w:rPr>
          <w:rFonts w:ascii="Times New Roman" w:hAnsi="宋体" w:eastAsia="宋体" w:cs="Times New Roman"/>
          <w:bCs/>
          <w:sz w:val="24"/>
          <w:szCs w:val="24"/>
        </w:rPr>
        <w:t>。评价范围</w:t>
      </w:r>
      <w:r>
        <w:rPr>
          <w:rFonts w:hint="eastAsia" w:ascii="Times New Roman" w:hAnsi="宋体" w:eastAsia="宋体" w:cs="Times New Roman"/>
          <w:bCs/>
          <w:sz w:val="24"/>
          <w:szCs w:val="24"/>
        </w:rPr>
        <w:t>为</w:t>
      </w:r>
      <w:r>
        <w:rPr>
          <w:rFonts w:ascii="Times New Roman" w:hAnsi="宋体" w:eastAsia="宋体" w:cs="Times New Roman"/>
          <w:bCs/>
          <w:sz w:val="24"/>
          <w:szCs w:val="24"/>
        </w:rPr>
        <w:t>以污染源为中心，边长为5km的</w:t>
      </w:r>
      <w:r>
        <w:rPr>
          <w:rFonts w:hint="eastAsia" w:ascii="Times New Roman" w:hAnsi="宋体" w:eastAsia="宋体" w:cs="Times New Roman"/>
          <w:bCs/>
          <w:sz w:val="24"/>
          <w:szCs w:val="24"/>
        </w:rPr>
        <w:t>矩形</w:t>
      </w:r>
      <w:r>
        <w:rPr>
          <w:rFonts w:ascii="Times New Roman" w:hAnsi="宋体" w:eastAsia="宋体" w:cs="Times New Roman"/>
          <w:bCs/>
          <w:sz w:val="24"/>
          <w:szCs w:val="24"/>
        </w:rPr>
        <w:t>。</w:t>
      </w:r>
    </w:p>
    <w:p>
      <w:pPr>
        <w:spacing w:line="48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（2）地表水</w:t>
      </w:r>
    </w:p>
    <w:p>
      <w:pPr>
        <w:spacing w:line="480" w:lineRule="exact"/>
        <w:ind w:firstLine="482" w:firstLineChars="200"/>
        <w:rPr>
          <w:rFonts w:ascii="Times New Roman" w:hAnsi="Times New Roman" w:eastAsia="宋体" w:cs="Times New Roman"/>
          <w:kern w:val="0"/>
          <w:sz w:val="24"/>
          <w:szCs w:val="24"/>
        </w:rPr>
      </w:pPr>
      <w:r>
        <w:rPr>
          <w:rFonts w:hint="eastAsia" w:ascii="Times New Roman" w:hAnsi="Times New Roman" w:eastAsia="宋体" w:cs="Times New Roman"/>
          <w:b/>
          <w:kern w:val="0"/>
          <w:sz w:val="24"/>
          <w:szCs w:val="24"/>
        </w:rPr>
        <w:t>变更前后项目废水排放去向未发生变化，</w:t>
      </w:r>
      <w:r>
        <w:rPr>
          <w:rFonts w:hint="eastAsia" w:ascii="Times New Roman" w:hAnsi="Times New Roman" w:eastAsia="宋体" w:cs="Times New Roman"/>
          <w:kern w:val="0"/>
          <w:sz w:val="24"/>
          <w:szCs w:val="24"/>
        </w:rPr>
        <w:t>项目</w:t>
      </w:r>
      <w:r>
        <w:rPr>
          <w:rFonts w:ascii="Times New Roman" w:hAnsi="Times New Roman" w:eastAsia="宋体" w:cs="Times New Roman"/>
          <w:kern w:val="0"/>
          <w:sz w:val="24"/>
          <w:szCs w:val="24"/>
        </w:rPr>
        <w:t>废水经</w:t>
      </w:r>
      <w:r>
        <w:rPr>
          <w:rFonts w:hint="eastAsia" w:ascii="Times New Roman" w:hAnsi="Times New Roman" w:eastAsia="宋体" w:cs="Times New Roman"/>
          <w:kern w:val="0"/>
          <w:sz w:val="24"/>
          <w:szCs w:val="24"/>
        </w:rPr>
        <w:t>厂内</w:t>
      </w:r>
      <w:r>
        <w:rPr>
          <w:rFonts w:ascii="Times New Roman" w:hAnsi="Times New Roman" w:eastAsia="宋体" w:cs="Times New Roman"/>
          <w:kern w:val="0"/>
          <w:sz w:val="24"/>
          <w:szCs w:val="24"/>
        </w:rPr>
        <w:t>的污水处理站处理达标后排入市政管网，进濮阳市第二污水处理厂深度处理后排入顺河沟，最终流入马颊河。</w:t>
      </w:r>
    </w:p>
    <w:p>
      <w:pPr>
        <w:spacing w:line="480" w:lineRule="exact"/>
        <w:ind w:firstLine="482" w:firstLineChars="200"/>
        <w:rPr>
          <w:rFonts w:ascii="Times New Roman" w:hAnsi="Times New Roman" w:eastAsia="宋体" w:cs="Times New Roman"/>
          <w:kern w:val="0"/>
          <w:sz w:val="24"/>
          <w:szCs w:val="24"/>
        </w:rPr>
      </w:pPr>
      <w:r>
        <w:rPr>
          <w:rFonts w:hint="eastAsia" w:ascii="Times New Roman" w:hAnsi="Times New Roman" w:eastAsia="宋体" w:cs="Times New Roman"/>
          <w:b/>
          <w:kern w:val="0"/>
          <w:sz w:val="24"/>
          <w:szCs w:val="24"/>
        </w:rPr>
        <w:t>本项目变更后废水水量较原环评有所减少，</w:t>
      </w:r>
      <w:r>
        <w:rPr>
          <w:rFonts w:hint="eastAsia" w:ascii="Times New Roman" w:hAnsi="Times New Roman" w:eastAsia="宋体" w:cs="Times New Roman"/>
          <w:kern w:val="0"/>
          <w:sz w:val="24"/>
          <w:szCs w:val="24"/>
        </w:rPr>
        <w:t>根据《</w:t>
      </w:r>
      <w:r>
        <w:rPr>
          <w:rFonts w:ascii="Times New Roman" w:hAnsi="Times New Roman" w:eastAsia="宋体" w:cs="Times New Roman"/>
          <w:kern w:val="0"/>
          <w:sz w:val="24"/>
          <w:szCs w:val="24"/>
        </w:rPr>
        <w:t>环境影响评价技术导则</w:t>
      </w:r>
      <w:r>
        <w:rPr>
          <w:rFonts w:hint="eastAsia" w:ascii="Times New Roman" w:hAnsi="Times New Roman" w:eastAsia="宋体" w:cs="Times New Roman"/>
          <w:kern w:val="0"/>
          <w:sz w:val="24"/>
          <w:szCs w:val="24"/>
        </w:rPr>
        <w:t xml:space="preserve"> 地面水</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（HJ/T 2.3-</w:t>
      </w:r>
      <w:r>
        <w:rPr>
          <w:rFonts w:ascii="Times New Roman" w:hAnsi="Times New Roman" w:eastAsia="宋体" w:cs="Times New Roman"/>
          <w:kern w:val="0"/>
          <w:sz w:val="24"/>
          <w:szCs w:val="24"/>
        </w:rPr>
        <w:t>2018）</w:t>
      </w:r>
      <w:r>
        <w:rPr>
          <w:rFonts w:hint="eastAsia" w:ascii="Times New Roman" w:hAnsi="Times New Roman" w:eastAsia="宋体" w:cs="Times New Roman"/>
          <w:kern w:val="0"/>
          <w:sz w:val="24"/>
          <w:szCs w:val="24"/>
        </w:rPr>
        <w:t>相关规定，间接排放的水污染影响型</w:t>
      </w:r>
      <w:r>
        <w:rPr>
          <w:rFonts w:ascii="Times New Roman" w:hAnsi="Times New Roman" w:eastAsia="宋体" w:cs="Times New Roman"/>
          <w:kern w:val="0"/>
          <w:sz w:val="24"/>
          <w:szCs w:val="24"/>
        </w:rPr>
        <w:t>建设</w:t>
      </w:r>
      <w:r>
        <w:rPr>
          <w:rFonts w:hint="eastAsia" w:ascii="Times New Roman" w:hAnsi="Times New Roman" w:eastAsia="宋体" w:cs="Times New Roman"/>
          <w:kern w:val="0"/>
          <w:sz w:val="24"/>
          <w:szCs w:val="24"/>
        </w:rPr>
        <w:t>项目评价等级为三级B，水污染影响型三级B评价可不进行水环境影响预测。本报告</w:t>
      </w:r>
      <w:r>
        <w:rPr>
          <w:rFonts w:ascii="Times New Roman" w:hAnsi="Times New Roman" w:eastAsia="宋体" w:cs="Times New Roman"/>
          <w:kern w:val="0"/>
          <w:sz w:val="24"/>
          <w:szCs w:val="24"/>
        </w:rPr>
        <w:t>只</w:t>
      </w:r>
      <w:r>
        <w:rPr>
          <w:rFonts w:hint="eastAsia" w:ascii="Times New Roman" w:hAnsi="Times New Roman" w:eastAsia="宋体" w:cs="Times New Roman"/>
          <w:kern w:val="0"/>
          <w:sz w:val="24"/>
          <w:szCs w:val="24"/>
        </w:rPr>
        <w:t>对本项目</w:t>
      </w:r>
      <w:r>
        <w:rPr>
          <w:rFonts w:ascii="Times New Roman" w:hAnsi="Times New Roman" w:eastAsia="宋体" w:cs="Times New Roman"/>
          <w:kern w:val="0"/>
          <w:sz w:val="24"/>
          <w:szCs w:val="24"/>
        </w:rPr>
        <w:t>进行</w:t>
      </w:r>
      <w:r>
        <w:rPr>
          <w:rFonts w:hint="eastAsia" w:ascii="Times New Roman" w:hAnsi="Times New Roman" w:eastAsia="宋体" w:cs="Times New Roman"/>
          <w:kern w:val="0"/>
          <w:sz w:val="24"/>
          <w:szCs w:val="24"/>
        </w:rPr>
        <w:t>废水排放量预测及污水达标排放和处理措施可行性分析。</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（3）地下水环境评价等级</w:t>
      </w:r>
    </w:p>
    <w:p>
      <w:pPr>
        <w:spacing w:line="48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本项目变更前后建设位置、建设项目类别和地下水环境敏感程度均不变，评价等级不变。本次变更分析引用原环评评价等级划分结果，二级评价。</w:t>
      </w:r>
    </w:p>
    <w:p>
      <w:pPr>
        <w:spacing w:line="48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（4）噪声评价等级</w:t>
      </w:r>
    </w:p>
    <w:p>
      <w:pPr>
        <w:spacing w:line="48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项目变更后，</w:t>
      </w:r>
      <w:r>
        <w:rPr>
          <w:rFonts w:ascii="Times New Roman" w:hAnsi="Times New Roman" w:eastAsia="宋体" w:cs="Times New Roman"/>
          <w:b/>
          <w:sz w:val="24"/>
          <w:szCs w:val="24"/>
        </w:rPr>
        <w:t>噪声</w:t>
      </w:r>
      <w:r>
        <w:rPr>
          <w:rFonts w:hint="eastAsia" w:ascii="Times New Roman" w:hAnsi="Times New Roman" w:eastAsia="宋体" w:cs="Times New Roman"/>
          <w:b/>
          <w:sz w:val="24"/>
          <w:szCs w:val="24"/>
        </w:rPr>
        <w:t>设备有所减少，项目建设前后噪声级变化不大，项目噪声影响范围减小，</w:t>
      </w:r>
      <w:r>
        <w:rPr>
          <w:rFonts w:ascii="Times New Roman" w:hAnsi="Times New Roman" w:eastAsia="宋体" w:cs="Times New Roman"/>
          <w:kern w:val="0"/>
          <w:sz w:val="24"/>
          <w:szCs w:val="24"/>
        </w:rPr>
        <w:t>按</w:t>
      </w:r>
      <w:r>
        <w:rPr>
          <w:rFonts w:hint="eastAsia" w:ascii="Times New Roman" w:hAnsi="Times New Roman" w:eastAsia="宋体" w:cs="Times New Roman"/>
          <w:kern w:val="0"/>
          <w:sz w:val="24"/>
          <w:szCs w:val="24"/>
        </w:rPr>
        <w:t>《环境影响评价技术导则声环境》（</w:t>
      </w:r>
      <w:r>
        <w:rPr>
          <w:rFonts w:ascii="Times New Roman" w:hAnsi="Times New Roman" w:eastAsia="宋体" w:cs="Times New Roman"/>
          <w:kern w:val="0"/>
          <w:sz w:val="24"/>
          <w:szCs w:val="24"/>
        </w:rPr>
        <w:t>HJ/T2.4</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2009</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要求，本项目声环境影响评价等级</w:t>
      </w:r>
      <w:r>
        <w:rPr>
          <w:rFonts w:hint="eastAsia" w:ascii="Times New Roman" w:hAnsi="Times New Roman" w:eastAsia="宋体" w:cs="Times New Roman"/>
          <w:kern w:val="0"/>
          <w:sz w:val="24"/>
          <w:szCs w:val="24"/>
        </w:rPr>
        <w:t>与原环评一致，仍</w:t>
      </w:r>
      <w:r>
        <w:rPr>
          <w:rFonts w:ascii="Times New Roman" w:hAnsi="Times New Roman" w:eastAsia="宋体" w:cs="Times New Roman"/>
          <w:kern w:val="0"/>
          <w:sz w:val="24"/>
          <w:szCs w:val="24"/>
        </w:rPr>
        <w:t>为</w:t>
      </w:r>
      <w:r>
        <w:rPr>
          <w:rFonts w:hint="eastAsia" w:ascii="Times New Roman" w:hAnsi="Times New Roman" w:eastAsia="宋体" w:cs="Times New Roman"/>
          <w:kern w:val="0"/>
          <w:sz w:val="24"/>
          <w:szCs w:val="24"/>
        </w:rPr>
        <w:t>三</w:t>
      </w:r>
      <w:r>
        <w:rPr>
          <w:rFonts w:ascii="Times New Roman" w:hAnsi="Times New Roman" w:eastAsia="宋体" w:cs="Times New Roman"/>
          <w:kern w:val="0"/>
          <w:sz w:val="24"/>
          <w:szCs w:val="24"/>
        </w:rPr>
        <w:t>级</w:t>
      </w:r>
      <w:r>
        <w:rPr>
          <w:rFonts w:hint="eastAsia" w:ascii="Times New Roman" w:hAnsi="Times New Roman" w:eastAsia="宋体" w:cs="Times New Roman"/>
          <w:kern w:val="0"/>
          <w:sz w:val="24"/>
          <w:szCs w:val="24"/>
        </w:rPr>
        <w:t>。</w:t>
      </w:r>
    </w:p>
    <w:p>
      <w:pPr>
        <w:spacing w:line="48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（5）环境风险评价等级</w:t>
      </w:r>
    </w:p>
    <w:p>
      <w:pPr>
        <w:spacing w:line="480" w:lineRule="exact"/>
        <w:ind w:firstLine="482" w:firstLineChars="200"/>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项目变更前后，</w:t>
      </w:r>
      <w:r>
        <w:rPr>
          <w:rFonts w:ascii="Times New Roman" w:hAnsi="Times New Roman" w:eastAsia="宋体" w:cs="Times New Roman"/>
          <w:b/>
          <w:kern w:val="0"/>
          <w:sz w:val="24"/>
          <w:szCs w:val="24"/>
        </w:rPr>
        <w:t>风险</w:t>
      </w:r>
      <w:r>
        <w:rPr>
          <w:rFonts w:hint="eastAsia" w:ascii="Times New Roman" w:hAnsi="Times New Roman" w:eastAsia="宋体" w:cs="Times New Roman"/>
          <w:b/>
          <w:kern w:val="0"/>
          <w:sz w:val="24"/>
          <w:szCs w:val="24"/>
        </w:rPr>
        <w:t>物质种类及储存量均未发生变化，</w:t>
      </w:r>
      <w:r>
        <w:rPr>
          <w:rFonts w:ascii="Times New Roman" w:hAnsi="Times New Roman" w:eastAsia="宋体" w:cs="Times New Roman"/>
          <w:b/>
          <w:kern w:val="0"/>
          <w:sz w:val="24"/>
          <w:szCs w:val="24"/>
        </w:rPr>
        <w:t>项目环境风险评价等级</w:t>
      </w:r>
      <w:r>
        <w:rPr>
          <w:rFonts w:hint="eastAsia" w:ascii="Times New Roman" w:hAnsi="Times New Roman" w:eastAsia="宋体" w:cs="Times New Roman"/>
          <w:b/>
          <w:kern w:val="0"/>
          <w:sz w:val="24"/>
          <w:szCs w:val="24"/>
        </w:rPr>
        <w:t>不发生变化，</w:t>
      </w:r>
      <w:r>
        <w:rPr>
          <w:rFonts w:ascii="Times New Roman" w:hAnsi="Times New Roman" w:eastAsia="宋体" w:cs="Times New Roman"/>
          <w:kern w:val="0"/>
          <w:sz w:val="24"/>
          <w:szCs w:val="24"/>
        </w:rPr>
        <w:t>环境风险评价等级</w:t>
      </w:r>
      <w:r>
        <w:rPr>
          <w:rFonts w:hint="eastAsia" w:ascii="Times New Roman" w:hAnsi="Times New Roman" w:eastAsia="宋体" w:cs="Times New Roman"/>
          <w:kern w:val="0"/>
          <w:sz w:val="24"/>
          <w:szCs w:val="24"/>
        </w:rPr>
        <w:t>与原环评一致，仍为一级。</w:t>
      </w:r>
    </w:p>
    <w:p>
      <w:pPr>
        <w:spacing w:before="80" w:after="80" w:line="520" w:lineRule="exact"/>
        <w:outlineLvl w:val="2"/>
        <w:rPr>
          <w:rFonts w:ascii="Times New Roman" w:hAnsi="Times New Roman" w:eastAsia="楷体" w:cs="Times New Roman"/>
          <w:sz w:val="28"/>
          <w:szCs w:val="28"/>
        </w:rPr>
      </w:pPr>
      <w:bookmarkStart w:id="23" w:name="_Toc8391528"/>
      <w:r>
        <w:rPr>
          <w:rFonts w:hint="eastAsia" w:ascii="Times New Roman" w:hAnsi="Times New Roman" w:eastAsia="楷体" w:cs="Times New Roman"/>
          <w:sz w:val="28"/>
          <w:szCs w:val="28"/>
        </w:rPr>
        <w:t>2.3.2 环境影响评价范围的确定</w:t>
      </w:r>
      <w:bookmarkEnd w:id="23"/>
    </w:p>
    <w:p>
      <w:pPr>
        <w:tabs>
          <w:tab w:val="left" w:pos="0"/>
          <w:tab w:val="left" w:pos="3060"/>
        </w:tabs>
        <w:spacing w:line="500" w:lineRule="exact"/>
        <w:ind w:firstLine="482" w:firstLineChars="200"/>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本项目变更前后环境</w:t>
      </w:r>
      <w:r>
        <w:rPr>
          <w:rFonts w:ascii="Times New Roman" w:hAnsi="Times New Roman" w:eastAsia="宋体" w:cs="Times New Roman"/>
          <w:b/>
          <w:kern w:val="0"/>
          <w:sz w:val="24"/>
          <w:szCs w:val="24"/>
        </w:rPr>
        <w:t>空气、地表水、地下水、噪声和环境风险评价范围与原环评一致。</w:t>
      </w:r>
      <w:r>
        <w:rPr>
          <w:rFonts w:hint="eastAsia" w:ascii="Times New Roman" w:hAnsi="Times New Roman" w:eastAsia="宋体" w:cs="Times New Roman"/>
          <w:kern w:val="0"/>
          <w:sz w:val="24"/>
          <w:szCs w:val="24"/>
        </w:rPr>
        <w:t>详见表2.3-</w:t>
      </w: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w:t>
      </w:r>
    </w:p>
    <w:p>
      <w:pPr>
        <w:spacing w:line="480" w:lineRule="exact"/>
        <w:ind w:firstLine="480" w:firstLineChars="200"/>
        <w:rPr>
          <w:rFonts w:ascii="Times New Roman" w:hAnsi="Times New Roman" w:eastAsia="黑体" w:cs="Times New Roman"/>
          <w:sz w:val="24"/>
        </w:rPr>
      </w:pPr>
      <w:r>
        <w:rPr>
          <w:rFonts w:hint="eastAsia" w:ascii="Times New Roman" w:hAnsi="Times New Roman" w:eastAsia="黑体" w:cs="Times New Roman"/>
          <w:sz w:val="24"/>
        </w:rPr>
        <w:t>表2.3-</w:t>
      </w:r>
      <w:r>
        <w:rPr>
          <w:rFonts w:ascii="Times New Roman" w:hAnsi="Times New Roman" w:eastAsia="黑体" w:cs="Times New Roman"/>
          <w:sz w:val="24"/>
        </w:rPr>
        <w:t>4</w:t>
      </w:r>
      <w:r>
        <w:rPr>
          <w:rFonts w:hint="eastAsia" w:ascii="Times New Roman" w:hAnsi="Times New Roman" w:eastAsia="黑体" w:cs="Times New Roman"/>
          <w:sz w:val="24"/>
        </w:rPr>
        <w:t xml:space="preserve">              项目各环境要素评价范围一览表</w:t>
      </w:r>
    </w:p>
    <w:tbl>
      <w:tblPr>
        <w:tblStyle w:val="19"/>
        <w:tblW w:w="858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13"/>
        <w:gridCol w:w="71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7" w:hRule="atLeast"/>
        </w:trPr>
        <w:tc>
          <w:tcPr>
            <w:tcW w:w="1413" w:type="dxa"/>
            <w:vAlign w:val="center"/>
          </w:tcPr>
          <w:p>
            <w:pPr>
              <w:adjustRightInd w:val="0"/>
              <w:snapToGrid w:val="0"/>
              <w:jc w:val="center"/>
              <w:rPr>
                <w:rFonts w:ascii="Times New Roman" w:hAnsi="Times New Roman" w:eastAsia="宋体" w:cs="Times New Roman"/>
                <w:bCs/>
                <w:spacing w:val="4"/>
                <w:szCs w:val="18"/>
              </w:rPr>
            </w:pPr>
            <w:r>
              <w:rPr>
                <w:rFonts w:hint="eastAsia" w:ascii="Times New Roman" w:hAnsi="Times New Roman" w:eastAsia="宋体" w:cs="Times New Roman"/>
                <w:bCs/>
                <w:spacing w:val="4"/>
                <w:szCs w:val="18"/>
              </w:rPr>
              <w:t>环境要素</w:t>
            </w:r>
          </w:p>
        </w:tc>
        <w:tc>
          <w:tcPr>
            <w:tcW w:w="7176" w:type="dxa"/>
            <w:vAlign w:val="center"/>
          </w:tcPr>
          <w:p>
            <w:pPr>
              <w:adjustRightInd w:val="0"/>
              <w:snapToGrid w:val="0"/>
              <w:jc w:val="center"/>
              <w:rPr>
                <w:rFonts w:ascii="Times New Roman" w:hAnsi="Times New Roman" w:eastAsia="宋体" w:cs="Times New Roman"/>
                <w:bCs/>
                <w:spacing w:val="4"/>
                <w:szCs w:val="18"/>
              </w:rPr>
            </w:pPr>
            <w:r>
              <w:rPr>
                <w:rFonts w:hint="eastAsia" w:ascii="Times New Roman" w:hAnsi="Times New Roman" w:eastAsia="宋体" w:cs="Times New Roman"/>
                <w:bCs/>
                <w:spacing w:val="4"/>
                <w:szCs w:val="18"/>
              </w:rPr>
              <w:t>评  价  范  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1413" w:type="dxa"/>
            <w:vAlign w:val="center"/>
          </w:tcPr>
          <w:p>
            <w:pPr>
              <w:adjustRightInd w:val="0"/>
              <w:snapToGrid w:val="0"/>
              <w:jc w:val="center"/>
              <w:rPr>
                <w:rFonts w:ascii="Times New Roman" w:hAnsi="Times New Roman" w:eastAsia="宋体" w:cs="Times New Roman"/>
                <w:bCs/>
                <w:spacing w:val="4"/>
                <w:szCs w:val="18"/>
              </w:rPr>
            </w:pPr>
            <w:r>
              <w:rPr>
                <w:rFonts w:hint="eastAsia" w:ascii="Times New Roman" w:hAnsi="Times New Roman" w:eastAsia="宋体" w:cs="Times New Roman"/>
                <w:bCs/>
                <w:spacing w:val="4"/>
                <w:szCs w:val="18"/>
              </w:rPr>
              <w:t>空气环境</w:t>
            </w:r>
          </w:p>
        </w:tc>
        <w:tc>
          <w:tcPr>
            <w:tcW w:w="7176" w:type="dxa"/>
            <w:vAlign w:val="center"/>
          </w:tcPr>
          <w:p>
            <w:pPr>
              <w:adjustRightInd w:val="0"/>
              <w:snapToGrid w:val="0"/>
              <w:jc w:val="center"/>
              <w:rPr>
                <w:rFonts w:ascii="Times New Roman" w:hAnsi="Times New Roman" w:eastAsia="宋体" w:cs="Times New Roman"/>
                <w:bCs/>
                <w:spacing w:val="4"/>
                <w:szCs w:val="18"/>
              </w:rPr>
            </w:pPr>
            <w:r>
              <w:rPr>
                <w:rFonts w:hint="eastAsia" w:ascii="Times New Roman" w:hAnsi="Times New Roman" w:eastAsia="宋体" w:cs="Times New Roman"/>
                <w:bCs/>
                <w:spacing w:val="4"/>
                <w:szCs w:val="18"/>
              </w:rPr>
              <w:t>以减压炉排气筒为中心，东西南北方向各延伸2.5km，共25km</w:t>
            </w:r>
            <w:r>
              <w:rPr>
                <w:rFonts w:hint="eastAsia" w:ascii="Times New Roman" w:hAnsi="Times New Roman" w:eastAsia="宋体" w:cs="Times New Roman"/>
                <w:bCs/>
                <w:spacing w:val="4"/>
                <w:szCs w:val="18"/>
                <w:vertAlign w:val="superscript"/>
              </w:rPr>
              <w:t>2</w:t>
            </w:r>
            <w:r>
              <w:rPr>
                <w:rFonts w:hint="eastAsia" w:ascii="Times New Roman" w:hAnsi="Times New Roman" w:eastAsia="宋体" w:cs="Times New Roman"/>
                <w:bCs/>
                <w:spacing w:val="4"/>
                <w:szCs w:val="18"/>
              </w:rPr>
              <w:t>范围内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8" w:hRule="atLeast"/>
        </w:trPr>
        <w:tc>
          <w:tcPr>
            <w:tcW w:w="1413" w:type="dxa"/>
            <w:vAlign w:val="center"/>
          </w:tcPr>
          <w:p>
            <w:pPr>
              <w:adjustRightInd w:val="0"/>
              <w:snapToGrid w:val="0"/>
              <w:jc w:val="center"/>
              <w:rPr>
                <w:rFonts w:ascii="Times New Roman" w:hAnsi="Times New Roman" w:eastAsia="宋体" w:cs="Times New Roman"/>
                <w:bCs/>
                <w:spacing w:val="4"/>
                <w:szCs w:val="18"/>
              </w:rPr>
            </w:pPr>
            <w:r>
              <w:rPr>
                <w:rFonts w:hint="eastAsia" w:ascii="Times New Roman" w:hAnsi="Times New Roman" w:eastAsia="宋体" w:cs="Times New Roman"/>
                <w:bCs/>
                <w:spacing w:val="4"/>
                <w:szCs w:val="18"/>
              </w:rPr>
              <w:t>地表水环境</w:t>
            </w:r>
          </w:p>
        </w:tc>
        <w:tc>
          <w:tcPr>
            <w:tcW w:w="7176" w:type="dxa"/>
            <w:vAlign w:val="center"/>
          </w:tcPr>
          <w:p>
            <w:pPr>
              <w:adjustRightInd w:val="0"/>
              <w:snapToGrid w:val="0"/>
              <w:jc w:val="left"/>
              <w:rPr>
                <w:rFonts w:ascii="Times New Roman" w:hAnsi="Times New Roman" w:eastAsia="宋体" w:cs="Times New Roman"/>
                <w:bCs/>
                <w:spacing w:val="4"/>
                <w:szCs w:val="18"/>
              </w:rPr>
            </w:pPr>
            <w:r>
              <w:rPr>
                <w:rFonts w:hint="eastAsia" w:ascii="Times New Roman" w:hAnsi="Times New Roman" w:eastAsia="宋体" w:cs="Times New Roman"/>
                <w:bCs/>
                <w:spacing w:val="4"/>
                <w:szCs w:val="18"/>
              </w:rPr>
              <w:t>项目废水经厂区污水处理站处理后达标，再进入濮阳市污水处理厂深度处理后，排入顺河沟，最终流入马颊河。评价范围为濮阳市第二污水处理站上游500m至马颊河南乐水文站，全长约15km。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7" w:hRule="atLeast"/>
        </w:trPr>
        <w:tc>
          <w:tcPr>
            <w:tcW w:w="1413" w:type="dxa"/>
            <w:vAlign w:val="center"/>
          </w:tcPr>
          <w:p>
            <w:pPr>
              <w:adjustRightInd w:val="0"/>
              <w:snapToGrid w:val="0"/>
              <w:jc w:val="center"/>
              <w:rPr>
                <w:rFonts w:ascii="Times New Roman" w:hAnsi="Times New Roman" w:eastAsia="宋体" w:cs="Times New Roman"/>
                <w:bCs/>
                <w:spacing w:val="4"/>
                <w:szCs w:val="18"/>
              </w:rPr>
            </w:pPr>
            <w:r>
              <w:rPr>
                <w:rFonts w:hint="eastAsia" w:ascii="Times New Roman" w:hAnsi="Times New Roman" w:eastAsia="宋体" w:cs="Times New Roman"/>
                <w:bCs/>
                <w:spacing w:val="4"/>
                <w:szCs w:val="18"/>
              </w:rPr>
              <w:t>地下水环境</w:t>
            </w:r>
          </w:p>
        </w:tc>
        <w:tc>
          <w:tcPr>
            <w:tcW w:w="7176" w:type="dxa"/>
            <w:vAlign w:val="center"/>
          </w:tcPr>
          <w:p>
            <w:pPr>
              <w:adjustRightInd w:val="0"/>
              <w:snapToGrid w:val="0"/>
              <w:jc w:val="left"/>
              <w:rPr>
                <w:rFonts w:ascii="Times New Roman" w:hAnsi="Times New Roman" w:eastAsia="宋体" w:cs="Times New Roman"/>
                <w:bCs/>
                <w:spacing w:val="4"/>
                <w:szCs w:val="18"/>
              </w:rPr>
            </w:pPr>
            <w:r>
              <w:rPr>
                <w:rFonts w:ascii="Times New Roman" w:hAnsi="Times New Roman" w:eastAsia="宋体" w:cs="Times New Roman"/>
                <w:bCs/>
                <w:spacing w:val="4"/>
                <w:szCs w:val="18"/>
              </w:rPr>
              <w:t>沿地下水流向，两侧以拟建项目总场地向外各延</w:t>
            </w:r>
            <w:r>
              <w:rPr>
                <w:rFonts w:hint="eastAsia" w:ascii="Times New Roman" w:hAnsi="Times New Roman" w:eastAsia="宋体" w:cs="Times New Roman"/>
                <w:bCs/>
                <w:spacing w:val="4"/>
                <w:szCs w:val="18"/>
              </w:rPr>
              <w:t>1500</w:t>
            </w:r>
            <w:r>
              <w:rPr>
                <w:rFonts w:ascii="Times New Roman" w:hAnsi="Times New Roman" w:eastAsia="宋体" w:cs="Times New Roman"/>
                <w:bCs/>
                <w:spacing w:val="4"/>
                <w:szCs w:val="18"/>
              </w:rPr>
              <w:t>m为界，上游至拟建项目场地</w:t>
            </w:r>
            <w:r>
              <w:rPr>
                <w:rFonts w:hint="eastAsia" w:ascii="Times New Roman" w:hAnsi="Times New Roman" w:eastAsia="宋体" w:cs="Times New Roman"/>
                <w:bCs/>
                <w:spacing w:val="4"/>
                <w:szCs w:val="18"/>
              </w:rPr>
              <w:t>1000</w:t>
            </w:r>
            <w:r>
              <w:rPr>
                <w:rFonts w:ascii="Times New Roman" w:hAnsi="Times New Roman" w:eastAsia="宋体" w:cs="Times New Roman"/>
                <w:bCs/>
                <w:spacing w:val="4"/>
                <w:szCs w:val="18"/>
              </w:rPr>
              <w:t>m处，下游沿地下水流向外延</w:t>
            </w:r>
            <w:r>
              <w:rPr>
                <w:rFonts w:hint="eastAsia" w:ascii="Times New Roman" w:hAnsi="Times New Roman" w:eastAsia="宋体" w:cs="Times New Roman"/>
                <w:bCs/>
                <w:spacing w:val="4"/>
                <w:szCs w:val="18"/>
              </w:rPr>
              <w:t>3000</w:t>
            </w:r>
            <w:r>
              <w:rPr>
                <w:rFonts w:ascii="Times New Roman" w:hAnsi="Times New Roman" w:eastAsia="宋体" w:cs="Times New Roman"/>
                <w:bCs/>
                <w:spacing w:val="4"/>
                <w:szCs w:val="18"/>
              </w:rPr>
              <w:t>m</w:t>
            </w:r>
            <w:r>
              <w:rPr>
                <w:rFonts w:hint="eastAsia" w:ascii="Times New Roman" w:hAnsi="Times New Roman" w:eastAsia="宋体" w:cs="Times New Roman"/>
                <w:bCs/>
                <w:spacing w:val="4"/>
                <w:szCs w:val="18"/>
              </w:rPr>
              <w:t>，评价范围为12km</w:t>
            </w:r>
            <w:r>
              <w:rPr>
                <w:rFonts w:hint="eastAsia" w:ascii="Times New Roman" w:hAnsi="Times New Roman" w:eastAsia="宋体" w:cs="Times New Roman"/>
                <w:bCs/>
                <w:spacing w:val="4"/>
                <w:szCs w:val="18"/>
                <w:vertAlign w:val="superscript"/>
              </w:rPr>
              <w:t>2</w:t>
            </w:r>
            <w:r>
              <w:rPr>
                <w:rFonts w:hint="eastAsia" w:ascii="Times New Roman" w:hAnsi="Times New Roman" w:eastAsia="宋体" w:cs="Times New Roman"/>
                <w:bCs/>
                <w:spacing w:val="4"/>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7" w:hRule="atLeast"/>
        </w:trPr>
        <w:tc>
          <w:tcPr>
            <w:tcW w:w="1413" w:type="dxa"/>
            <w:vAlign w:val="center"/>
          </w:tcPr>
          <w:p>
            <w:pPr>
              <w:adjustRightInd w:val="0"/>
              <w:snapToGrid w:val="0"/>
              <w:jc w:val="center"/>
              <w:rPr>
                <w:rFonts w:ascii="Times New Roman" w:hAnsi="Times New Roman" w:eastAsia="宋体" w:cs="Times New Roman"/>
                <w:bCs/>
                <w:spacing w:val="4"/>
                <w:szCs w:val="18"/>
              </w:rPr>
            </w:pPr>
            <w:r>
              <w:rPr>
                <w:rFonts w:hint="eastAsia" w:ascii="Times New Roman" w:hAnsi="Times New Roman" w:eastAsia="宋体" w:cs="Times New Roman"/>
                <w:bCs/>
                <w:spacing w:val="4"/>
                <w:szCs w:val="18"/>
              </w:rPr>
              <w:t>声环境</w:t>
            </w:r>
          </w:p>
        </w:tc>
        <w:tc>
          <w:tcPr>
            <w:tcW w:w="7176" w:type="dxa"/>
            <w:vAlign w:val="center"/>
          </w:tcPr>
          <w:p>
            <w:pPr>
              <w:adjustRightInd w:val="0"/>
              <w:snapToGrid w:val="0"/>
              <w:jc w:val="left"/>
              <w:rPr>
                <w:rFonts w:ascii="Times New Roman" w:hAnsi="Times New Roman" w:eastAsia="宋体" w:cs="Times New Roman"/>
                <w:bCs/>
                <w:spacing w:val="4"/>
                <w:szCs w:val="18"/>
              </w:rPr>
            </w:pPr>
            <w:r>
              <w:rPr>
                <w:rFonts w:ascii="Times New Roman" w:hAnsi="Times New Roman" w:eastAsia="宋体" w:cs="Times New Roman"/>
                <w:bCs/>
                <w:spacing w:val="4"/>
                <w:szCs w:val="18"/>
              </w:rPr>
              <w:t>厂界及厂界外200m范围内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7" w:hRule="atLeast"/>
        </w:trPr>
        <w:tc>
          <w:tcPr>
            <w:tcW w:w="1413" w:type="dxa"/>
            <w:vAlign w:val="center"/>
          </w:tcPr>
          <w:p>
            <w:pPr>
              <w:adjustRightInd w:val="0"/>
              <w:snapToGrid w:val="0"/>
              <w:jc w:val="center"/>
              <w:rPr>
                <w:rFonts w:ascii="Times New Roman" w:hAnsi="Times New Roman" w:eastAsia="宋体" w:cs="Times New Roman"/>
                <w:bCs/>
                <w:spacing w:val="4"/>
                <w:szCs w:val="18"/>
              </w:rPr>
            </w:pPr>
            <w:r>
              <w:rPr>
                <w:rFonts w:hint="eastAsia" w:ascii="Times New Roman" w:hAnsi="Times New Roman" w:eastAsia="宋体" w:cs="Times New Roman"/>
                <w:bCs/>
                <w:spacing w:val="4"/>
                <w:szCs w:val="18"/>
              </w:rPr>
              <w:t>环境风险</w:t>
            </w:r>
          </w:p>
        </w:tc>
        <w:tc>
          <w:tcPr>
            <w:tcW w:w="7176" w:type="dxa"/>
            <w:vAlign w:val="center"/>
          </w:tcPr>
          <w:p>
            <w:pPr>
              <w:adjustRightInd w:val="0"/>
              <w:snapToGrid w:val="0"/>
              <w:jc w:val="left"/>
              <w:rPr>
                <w:rFonts w:ascii="Times New Roman" w:hAnsi="Times New Roman" w:eastAsia="宋体" w:cs="Times New Roman"/>
                <w:bCs/>
                <w:spacing w:val="4"/>
                <w:szCs w:val="18"/>
              </w:rPr>
            </w:pPr>
            <w:r>
              <w:rPr>
                <w:rFonts w:ascii="Times New Roman" w:hAnsi="Times New Roman" w:eastAsia="宋体" w:cs="Times New Roman"/>
                <w:bCs/>
                <w:spacing w:val="4"/>
                <w:szCs w:val="18"/>
              </w:rPr>
              <w:t>以</w:t>
            </w:r>
            <w:r>
              <w:rPr>
                <w:rFonts w:hint="eastAsia" w:ascii="Times New Roman" w:hAnsi="Times New Roman" w:eastAsia="宋体" w:cs="Times New Roman"/>
                <w:bCs/>
                <w:spacing w:val="4"/>
                <w:szCs w:val="18"/>
              </w:rPr>
              <w:t>风险源</w:t>
            </w:r>
            <w:r>
              <w:rPr>
                <w:rFonts w:ascii="Times New Roman" w:hAnsi="Times New Roman" w:eastAsia="宋体" w:cs="Times New Roman"/>
                <w:bCs/>
                <w:spacing w:val="4"/>
                <w:szCs w:val="18"/>
              </w:rPr>
              <w:t>为中心</w:t>
            </w:r>
            <w:r>
              <w:rPr>
                <w:rFonts w:hint="eastAsia" w:ascii="Times New Roman" w:hAnsi="Times New Roman" w:eastAsia="宋体" w:cs="Times New Roman"/>
                <w:bCs/>
                <w:spacing w:val="4"/>
                <w:szCs w:val="18"/>
              </w:rPr>
              <w:t>，</w:t>
            </w:r>
            <w:r>
              <w:rPr>
                <w:rFonts w:ascii="Times New Roman" w:hAnsi="Times New Roman" w:eastAsia="宋体" w:cs="Times New Roman"/>
                <w:bCs/>
                <w:spacing w:val="4"/>
                <w:szCs w:val="18"/>
              </w:rPr>
              <w:t>半径</w:t>
            </w:r>
            <w:r>
              <w:rPr>
                <w:rFonts w:hint="eastAsia" w:ascii="Times New Roman" w:hAnsi="Times New Roman" w:eastAsia="宋体" w:cs="Times New Roman"/>
                <w:bCs/>
                <w:spacing w:val="4"/>
                <w:szCs w:val="18"/>
              </w:rPr>
              <w:t>5</w:t>
            </w:r>
            <w:r>
              <w:rPr>
                <w:rFonts w:ascii="Times New Roman" w:hAnsi="Times New Roman" w:eastAsia="宋体" w:cs="Times New Roman"/>
                <w:bCs/>
                <w:spacing w:val="4"/>
                <w:szCs w:val="18"/>
              </w:rPr>
              <w:t>km的圆形</w:t>
            </w:r>
          </w:p>
        </w:tc>
      </w:tr>
    </w:tbl>
    <w:p/>
    <w:p>
      <w:pPr>
        <w:pStyle w:val="39"/>
        <w:rPr>
          <w:color w:val="auto"/>
        </w:rPr>
      </w:pPr>
      <w:bookmarkStart w:id="24" w:name="_Toc8391529"/>
      <w:r>
        <w:rPr>
          <w:rFonts w:hint="eastAsia"/>
          <w:color w:val="auto"/>
        </w:rPr>
        <w:t>2.4 与产业政策相符性分析</w:t>
      </w:r>
      <w:bookmarkEnd w:id="24"/>
    </w:p>
    <w:p>
      <w:pPr>
        <w:pStyle w:val="25"/>
        <w:ind w:firstLine="480"/>
        <w:rPr>
          <w:color w:val="auto"/>
        </w:rPr>
      </w:pPr>
      <w:r>
        <w:rPr>
          <w:rFonts w:hint="eastAsia" w:eastAsia="宋体"/>
          <w:color w:val="auto"/>
        </w:rPr>
        <w:t>本项目变更内容主要集中在工艺装备方面，变更内容与产业政策分析见下表。</w:t>
      </w:r>
    </w:p>
    <w:p>
      <w:pPr>
        <w:pStyle w:val="25"/>
        <w:ind w:firstLine="480"/>
        <w:rPr>
          <w:color w:val="auto"/>
        </w:rPr>
      </w:pPr>
      <w:r>
        <w:rPr>
          <w:rFonts w:hint="eastAsia"/>
          <w:color w:val="auto"/>
        </w:rPr>
        <w:t>表2.4</w:t>
      </w:r>
      <w:r>
        <w:rPr>
          <w:color w:val="auto"/>
        </w:rPr>
        <w:t xml:space="preserve">-1 </w:t>
      </w:r>
      <w:r>
        <w:rPr>
          <w:rFonts w:hint="eastAsia"/>
          <w:color w:val="auto"/>
        </w:rPr>
        <w:t>变更项目内容与《废矿物油综合利用行业规范条件》分析一览表</w:t>
      </w:r>
    </w:p>
    <w:tbl>
      <w:tblPr>
        <w:tblStyle w:val="2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3849"/>
        <w:gridCol w:w="3292"/>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jc w:val="center"/>
              <w:rPr>
                <w:rFonts w:ascii="宋体" w:hAnsi="宋体" w:eastAsia="宋体" w:cs="宋体"/>
                <w:kern w:val="0"/>
                <w:szCs w:val="21"/>
              </w:rPr>
            </w:pPr>
            <w:r>
              <w:rPr>
                <w:rFonts w:hint="eastAsia" w:ascii="宋体" w:hAnsi="宋体" w:eastAsia="宋体" w:cs="宋体"/>
                <w:kern w:val="0"/>
                <w:szCs w:val="21"/>
              </w:rPr>
              <w:t>项目</w:t>
            </w:r>
          </w:p>
        </w:tc>
        <w:tc>
          <w:tcPr>
            <w:tcW w:w="3849" w:type="dxa"/>
            <w:vAlign w:val="center"/>
          </w:tcPr>
          <w:p>
            <w:pPr>
              <w:pStyle w:val="60"/>
              <w:spacing w:line="240" w:lineRule="exact"/>
              <w:jc w:val="center"/>
              <w:rPr>
                <w:color w:val="auto"/>
                <w:sz w:val="21"/>
                <w:szCs w:val="21"/>
              </w:rPr>
            </w:pPr>
            <w:r>
              <w:rPr>
                <w:rFonts w:hint="eastAsia"/>
                <w:color w:val="auto"/>
                <w:sz w:val="21"/>
                <w:szCs w:val="21"/>
              </w:rPr>
              <w:t>规范内容</w:t>
            </w:r>
          </w:p>
        </w:tc>
        <w:tc>
          <w:tcPr>
            <w:tcW w:w="3292" w:type="dxa"/>
            <w:vAlign w:val="center"/>
          </w:tcPr>
          <w:p>
            <w:pPr>
              <w:pStyle w:val="60"/>
              <w:spacing w:line="240" w:lineRule="exact"/>
              <w:jc w:val="center"/>
              <w:rPr>
                <w:color w:val="auto"/>
                <w:sz w:val="21"/>
                <w:szCs w:val="21"/>
              </w:rPr>
            </w:pPr>
            <w:r>
              <w:rPr>
                <w:rFonts w:hint="eastAsia"/>
                <w:color w:val="auto"/>
                <w:sz w:val="21"/>
                <w:szCs w:val="21"/>
              </w:rPr>
              <w:t>变更后项目情况</w:t>
            </w:r>
          </w:p>
        </w:tc>
        <w:tc>
          <w:tcPr>
            <w:tcW w:w="501" w:type="dxa"/>
            <w:vAlign w:val="center"/>
          </w:tcPr>
          <w:p>
            <w:pPr>
              <w:adjustRightInd w:val="0"/>
              <w:snapToGrid w:val="0"/>
              <w:spacing w:line="240" w:lineRule="exact"/>
              <w:jc w:val="center"/>
              <w:rPr>
                <w:rFonts w:ascii="宋体" w:hAnsi="宋体" w:eastAsia="宋体"/>
                <w:szCs w:val="21"/>
              </w:rPr>
            </w:pPr>
            <w:r>
              <w:rPr>
                <w:rFonts w:hint="eastAsia" w:ascii="宋体" w:hAnsi="宋体" w:eastAsia="宋体"/>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Merge w:val="restart"/>
            <w:vAlign w:val="center"/>
          </w:tcPr>
          <w:p>
            <w:pPr>
              <w:jc w:val="center"/>
              <w:rPr>
                <w:rFonts w:ascii="宋体" w:hAnsi="宋体" w:eastAsia="宋体" w:cs="宋体"/>
                <w:kern w:val="0"/>
                <w:szCs w:val="21"/>
              </w:rPr>
            </w:pPr>
            <w:r>
              <w:rPr>
                <w:rFonts w:hint="eastAsia" w:ascii="宋体" w:hAnsi="宋体" w:eastAsia="宋体" w:cs="宋体"/>
                <w:kern w:val="0"/>
                <w:szCs w:val="21"/>
              </w:rPr>
              <w:t>五、工艺、装备及能耗</w:t>
            </w:r>
          </w:p>
        </w:tc>
        <w:tc>
          <w:tcPr>
            <w:tcW w:w="3849" w:type="dxa"/>
            <w:vAlign w:val="center"/>
          </w:tcPr>
          <w:p>
            <w:pPr>
              <w:pStyle w:val="60"/>
              <w:spacing w:line="240" w:lineRule="exact"/>
              <w:jc w:val="both"/>
              <w:rPr>
                <w:color w:val="auto"/>
                <w:sz w:val="21"/>
                <w:szCs w:val="21"/>
              </w:rPr>
            </w:pPr>
            <w:r>
              <w:rPr>
                <w:rFonts w:hint="eastAsia"/>
                <w:color w:val="auto"/>
                <w:sz w:val="21"/>
                <w:szCs w:val="21"/>
              </w:rPr>
              <w:t>（十二）新建、改扩建废矿物油综合利用企业应当采用符合国家要求的节能、环保技术、安全成熟的先进工艺及设备。</w:t>
            </w:r>
          </w:p>
        </w:tc>
        <w:tc>
          <w:tcPr>
            <w:tcW w:w="3292" w:type="dxa"/>
            <w:vAlign w:val="center"/>
          </w:tcPr>
          <w:p>
            <w:pPr>
              <w:pStyle w:val="60"/>
              <w:spacing w:line="240" w:lineRule="exact"/>
              <w:jc w:val="both"/>
              <w:rPr>
                <w:color w:val="auto"/>
                <w:sz w:val="21"/>
                <w:szCs w:val="21"/>
              </w:rPr>
            </w:pPr>
            <w:r>
              <w:rPr>
                <w:rFonts w:hint="eastAsia"/>
                <w:color w:val="auto"/>
                <w:sz w:val="21"/>
                <w:szCs w:val="21"/>
              </w:rPr>
              <w:t>本项目变更后优化了工艺路线，减少了蒸汽、</w:t>
            </w:r>
            <w:r>
              <w:rPr>
                <w:color w:val="auto"/>
                <w:sz w:val="21"/>
                <w:szCs w:val="21"/>
              </w:rPr>
              <w:t>天然气</w:t>
            </w:r>
            <w:r>
              <w:rPr>
                <w:rFonts w:hint="eastAsia"/>
                <w:color w:val="auto"/>
                <w:sz w:val="21"/>
                <w:szCs w:val="21"/>
              </w:rPr>
              <w:t>等能源的用量，具有节能、环保、安全等特点。</w:t>
            </w:r>
          </w:p>
        </w:tc>
        <w:tc>
          <w:tcPr>
            <w:tcW w:w="501" w:type="dxa"/>
            <w:vAlign w:val="center"/>
          </w:tcPr>
          <w:p>
            <w:pPr>
              <w:adjustRightInd w:val="0"/>
              <w:snapToGrid w:val="0"/>
              <w:spacing w:line="240" w:lineRule="exact"/>
              <w:jc w:val="center"/>
              <w:rPr>
                <w:rFonts w:ascii="宋体" w:hAnsi="宋体" w:eastAsia="宋体" w:cs="Times New Roman"/>
                <w:bCs/>
                <w:spacing w:val="4"/>
                <w:szCs w:val="21"/>
              </w:rPr>
            </w:pPr>
            <w:r>
              <w:rPr>
                <w:rFonts w:hint="eastAsia" w:ascii="宋体" w:hAnsi="宋体" w:eastAsia="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Merge w:val="continue"/>
            <w:vAlign w:val="center"/>
          </w:tcPr>
          <w:p>
            <w:pPr>
              <w:adjustRightInd w:val="0"/>
              <w:snapToGrid w:val="0"/>
              <w:spacing w:line="240" w:lineRule="exact"/>
              <w:jc w:val="center"/>
              <w:rPr>
                <w:rFonts w:ascii="Times New Roman" w:hAnsi="Times New Roman" w:eastAsia="宋体" w:cs="Times New Roman"/>
                <w:bCs/>
                <w:spacing w:val="4"/>
                <w:szCs w:val="21"/>
              </w:rPr>
            </w:pPr>
          </w:p>
        </w:tc>
        <w:tc>
          <w:tcPr>
            <w:tcW w:w="3849" w:type="dxa"/>
            <w:vAlign w:val="center"/>
          </w:tcPr>
          <w:p>
            <w:pPr>
              <w:pStyle w:val="60"/>
              <w:spacing w:line="240" w:lineRule="exact"/>
              <w:jc w:val="both"/>
              <w:rPr>
                <w:color w:val="auto"/>
                <w:sz w:val="21"/>
                <w:szCs w:val="21"/>
              </w:rPr>
            </w:pPr>
            <w:r>
              <w:rPr>
                <w:rFonts w:hint="eastAsia"/>
                <w:color w:val="auto"/>
                <w:sz w:val="21"/>
                <w:szCs w:val="21"/>
              </w:rPr>
              <w:t>（十三）提炼再生润滑油基础油的蒸馏工序推荐采用高真空蒸馏，包括分子蒸馏、薄膜蒸发、减压蒸馏等方法。</w:t>
            </w:r>
          </w:p>
        </w:tc>
        <w:tc>
          <w:tcPr>
            <w:tcW w:w="3292" w:type="dxa"/>
            <w:vAlign w:val="center"/>
          </w:tcPr>
          <w:p>
            <w:pPr>
              <w:pStyle w:val="60"/>
              <w:spacing w:line="240" w:lineRule="exact"/>
              <w:jc w:val="both"/>
              <w:rPr>
                <w:color w:val="auto"/>
                <w:sz w:val="21"/>
                <w:szCs w:val="21"/>
              </w:rPr>
            </w:pPr>
            <w:r>
              <w:rPr>
                <w:rFonts w:hint="eastAsia"/>
                <w:color w:val="auto"/>
                <w:sz w:val="21"/>
                <w:szCs w:val="21"/>
              </w:rPr>
              <w:t>本项目生产基础油采用减压蒸馏工艺。</w:t>
            </w:r>
          </w:p>
        </w:tc>
        <w:tc>
          <w:tcPr>
            <w:tcW w:w="501" w:type="dxa"/>
            <w:vAlign w:val="center"/>
          </w:tcPr>
          <w:p>
            <w:pPr>
              <w:adjustRightInd w:val="0"/>
              <w:snapToGrid w:val="0"/>
              <w:spacing w:line="240" w:lineRule="exact"/>
              <w:jc w:val="center"/>
              <w:rPr>
                <w:rFonts w:ascii="宋体" w:hAnsi="宋体" w:eastAsia="宋体" w:cs="Times New Roman"/>
                <w:bCs/>
                <w:spacing w:val="4"/>
                <w:szCs w:val="21"/>
              </w:rPr>
            </w:pPr>
            <w:r>
              <w:rPr>
                <w:rFonts w:hint="eastAsia" w:ascii="宋体" w:hAnsi="宋体" w:eastAsia="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Merge w:val="continue"/>
            <w:vAlign w:val="center"/>
          </w:tcPr>
          <w:p>
            <w:pPr>
              <w:adjustRightInd w:val="0"/>
              <w:snapToGrid w:val="0"/>
              <w:spacing w:line="240" w:lineRule="exact"/>
              <w:jc w:val="center"/>
              <w:rPr>
                <w:rFonts w:ascii="Times New Roman" w:hAnsi="Times New Roman" w:eastAsia="宋体" w:cs="Times New Roman"/>
                <w:bCs/>
                <w:spacing w:val="4"/>
                <w:szCs w:val="21"/>
              </w:rPr>
            </w:pPr>
          </w:p>
        </w:tc>
        <w:tc>
          <w:tcPr>
            <w:tcW w:w="3849" w:type="dxa"/>
            <w:vAlign w:val="center"/>
          </w:tcPr>
          <w:p>
            <w:pPr>
              <w:pStyle w:val="60"/>
              <w:spacing w:line="240" w:lineRule="exact"/>
              <w:jc w:val="both"/>
              <w:rPr>
                <w:color w:val="auto"/>
                <w:sz w:val="21"/>
                <w:szCs w:val="21"/>
              </w:rPr>
            </w:pPr>
            <w:r>
              <w:rPr>
                <w:rFonts w:hint="eastAsia"/>
                <w:color w:val="auto"/>
                <w:sz w:val="21"/>
                <w:szCs w:val="21"/>
              </w:rPr>
              <w:t>（十四）再生润滑油基础油的后精制工序鼓励采用溶剂精制或加氢精制，严禁使用国家明令淘汰的硫酸精制等强酸精制工艺。</w:t>
            </w:r>
          </w:p>
        </w:tc>
        <w:tc>
          <w:tcPr>
            <w:tcW w:w="3292" w:type="dxa"/>
            <w:vAlign w:val="center"/>
          </w:tcPr>
          <w:p>
            <w:pPr>
              <w:pStyle w:val="60"/>
              <w:spacing w:line="240" w:lineRule="exact"/>
              <w:jc w:val="both"/>
              <w:rPr>
                <w:color w:val="auto"/>
                <w:sz w:val="21"/>
                <w:szCs w:val="21"/>
              </w:rPr>
            </w:pPr>
            <w:r>
              <w:rPr>
                <w:rFonts w:hint="eastAsia"/>
                <w:color w:val="auto"/>
                <w:sz w:val="21"/>
                <w:szCs w:val="21"/>
              </w:rPr>
              <w:t>本项目采用溶剂精制工艺，不使用硫酸精制等强酸精制工艺。</w:t>
            </w:r>
          </w:p>
        </w:tc>
        <w:tc>
          <w:tcPr>
            <w:tcW w:w="501" w:type="dxa"/>
            <w:vAlign w:val="center"/>
          </w:tcPr>
          <w:p>
            <w:pPr>
              <w:adjustRightInd w:val="0"/>
              <w:snapToGrid w:val="0"/>
              <w:spacing w:line="240" w:lineRule="exact"/>
              <w:jc w:val="center"/>
              <w:rPr>
                <w:rFonts w:ascii="宋体" w:hAnsi="宋体" w:eastAsia="宋体" w:cs="Times New Roman"/>
                <w:bCs/>
                <w:spacing w:val="4"/>
                <w:szCs w:val="21"/>
              </w:rPr>
            </w:pPr>
            <w:r>
              <w:rPr>
                <w:rFonts w:hint="eastAsia" w:ascii="宋体" w:hAnsi="宋体" w:eastAsia="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Merge w:val="continue"/>
            <w:vAlign w:val="center"/>
          </w:tcPr>
          <w:p>
            <w:pPr>
              <w:adjustRightInd w:val="0"/>
              <w:snapToGrid w:val="0"/>
              <w:spacing w:line="240" w:lineRule="exact"/>
              <w:jc w:val="center"/>
              <w:rPr>
                <w:rFonts w:ascii="Times New Roman" w:hAnsi="Times New Roman" w:eastAsia="宋体" w:cs="Times New Roman"/>
                <w:bCs/>
                <w:spacing w:val="4"/>
                <w:szCs w:val="21"/>
              </w:rPr>
            </w:pPr>
          </w:p>
        </w:tc>
        <w:tc>
          <w:tcPr>
            <w:tcW w:w="3849" w:type="dxa"/>
            <w:vAlign w:val="center"/>
          </w:tcPr>
          <w:p>
            <w:pPr>
              <w:pStyle w:val="60"/>
              <w:spacing w:line="240" w:lineRule="exact"/>
              <w:jc w:val="both"/>
              <w:rPr>
                <w:rFonts w:hAnsi="Times New Roman"/>
                <w:color w:val="auto"/>
                <w:sz w:val="21"/>
                <w:szCs w:val="21"/>
              </w:rPr>
            </w:pPr>
            <w:r>
              <w:rPr>
                <w:rFonts w:hint="eastAsia"/>
                <w:color w:val="auto"/>
                <w:sz w:val="21"/>
                <w:szCs w:val="21"/>
              </w:rPr>
              <w:t>（十五）废矿物油提炼再生润滑油基础油综合能源消耗应低于</w:t>
            </w:r>
            <w:r>
              <w:rPr>
                <w:rFonts w:ascii="Times New Roman" w:hAnsi="Times New Roman" w:cs="Times New Roman"/>
                <w:color w:val="auto"/>
                <w:sz w:val="21"/>
                <w:szCs w:val="21"/>
              </w:rPr>
              <w:t>900</w:t>
            </w:r>
            <w:r>
              <w:rPr>
                <w:rFonts w:hint="eastAsia" w:hAnsi="Times New Roman"/>
                <w:color w:val="auto"/>
                <w:sz w:val="21"/>
                <w:szCs w:val="21"/>
              </w:rPr>
              <w:t>千瓦时</w:t>
            </w:r>
            <w:r>
              <w:rPr>
                <w:rFonts w:ascii="Times New Roman" w:hAnsi="Times New Roman" w:cs="Times New Roman"/>
                <w:color w:val="auto"/>
                <w:sz w:val="21"/>
                <w:szCs w:val="21"/>
              </w:rPr>
              <w:t>/</w:t>
            </w:r>
            <w:r>
              <w:rPr>
                <w:rFonts w:hint="eastAsia" w:hAnsi="Times New Roman"/>
                <w:color w:val="auto"/>
                <w:sz w:val="21"/>
                <w:szCs w:val="21"/>
              </w:rPr>
              <w:t>吨。</w:t>
            </w:r>
          </w:p>
        </w:tc>
        <w:tc>
          <w:tcPr>
            <w:tcW w:w="3292" w:type="dxa"/>
            <w:vAlign w:val="center"/>
          </w:tcPr>
          <w:p>
            <w:pPr>
              <w:pStyle w:val="60"/>
              <w:spacing w:line="240" w:lineRule="exact"/>
              <w:jc w:val="both"/>
              <w:rPr>
                <w:rFonts w:hAnsi="Times New Roman"/>
                <w:color w:val="auto"/>
                <w:sz w:val="21"/>
                <w:szCs w:val="21"/>
              </w:rPr>
            </w:pPr>
            <w:r>
              <w:rPr>
                <w:rFonts w:hint="eastAsia"/>
                <w:color w:val="auto"/>
                <w:sz w:val="21"/>
                <w:szCs w:val="21"/>
              </w:rPr>
              <w:t>本项目综合能耗约为</w:t>
            </w:r>
            <w:r>
              <w:rPr>
                <w:rFonts w:ascii="Times New Roman" w:hAnsi="Times New Roman" w:cs="Times New Roman"/>
                <w:color w:val="auto"/>
                <w:sz w:val="21"/>
                <w:szCs w:val="21"/>
              </w:rPr>
              <w:t>542.5</w:t>
            </w:r>
            <w:r>
              <w:rPr>
                <w:rFonts w:hint="eastAsia" w:hAnsi="Times New Roman"/>
                <w:color w:val="auto"/>
                <w:sz w:val="21"/>
                <w:szCs w:val="21"/>
              </w:rPr>
              <w:t>千瓦时</w:t>
            </w:r>
            <w:r>
              <w:rPr>
                <w:rFonts w:ascii="Times New Roman" w:hAnsi="Times New Roman" w:cs="Times New Roman"/>
                <w:color w:val="auto"/>
                <w:sz w:val="21"/>
                <w:szCs w:val="21"/>
              </w:rPr>
              <w:t>/</w:t>
            </w:r>
            <w:r>
              <w:rPr>
                <w:rFonts w:hint="eastAsia" w:hAnsi="Times New Roman"/>
                <w:color w:val="auto"/>
                <w:sz w:val="21"/>
                <w:szCs w:val="21"/>
              </w:rPr>
              <w:t>吨，低于综合能耗</w:t>
            </w:r>
            <w:r>
              <w:rPr>
                <w:rFonts w:ascii="Times New Roman" w:hAnsi="Times New Roman" w:cs="Times New Roman"/>
                <w:color w:val="auto"/>
                <w:sz w:val="21"/>
                <w:szCs w:val="21"/>
              </w:rPr>
              <w:t>900</w:t>
            </w:r>
            <w:r>
              <w:rPr>
                <w:rFonts w:hint="eastAsia" w:hAnsi="Times New Roman"/>
                <w:color w:val="auto"/>
                <w:sz w:val="21"/>
                <w:szCs w:val="21"/>
              </w:rPr>
              <w:t>千瓦时</w:t>
            </w:r>
            <w:r>
              <w:rPr>
                <w:rFonts w:ascii="Times New Roman" w:hAnsi="Times New Roman" w:cs="Times New Roman"/>
                <w:color w:val="auto"/>
                <w:sz w:val="21"/>
                <w:szCs w:val="21"/>
              </w:rPr>
              <w:t>/</w:t>
            </w:r>
            <w:r>
              <w:rPr>
                <w:rFonts w:hint="eastAsia" w:hAnsi="Times New Roman"/>
                <w:color w:val="auto"/>
                <w:sz w:val="21"/>
                <w:szCs w:val="21"/>
              </w:rPr>
              <w:t>吨要求。</w:t>
            </w:r>
          </w:p>
        </w:tc>
        <w:tc>
          <w:tcPr>
            <w:tcW w:w="501" w:type="dxa"/>
            <w:vAlign w:val="center"/>
          </w:tcPr>
          <w:p>
            <w:pPr>
              <w:adjustRightInd w:val="0"/>
              <w:snapToGrid w:val="0"/>
              <w:spacing w:line="240" w:lineRule="exact"/>
              <w:jc w:val="center"/>
              <w:rPr>
                <w:rFonts w:ascii="宋体" w:hAnsi="宋体" w:eastAsia="宋体" w:cs="Times New Roman"/>
                <w:bCs/>
                <w:spacing w:val="4"/>
                <w:szCs w:val="21"/>
              </w:rPr>
            </w:pPr>
            <w:r>
              <w:rPr>
                <w:rFonts w:hint="eastAsia" w:ascii="宋体" w:hAnsi="宋体" w:eastAsia="宋体"/>
                <w:szCs w:val="21"/>
              </w:rPr>
              <w:t>符合</w:t>
            </w:r>
          </w:p>
        </w:tc>
      </w:tr>
    </w:tbl>
    <w:p/>
    <w:p>
      <w:pPr>
        <w:sectPr>
          <w:pgSz w:w="11906" w:h="16838"/>
          <w:pgMar w:top="1440" w:right="1800" w:bottom="1440" w:left="1800" w:header="851" w:footer="992" w:gutter="0"/>
          <w:cols w:space="425" w:num="1"/>
          <w:docGrid w:type="lines" w:linePitch="312" w:charSpace="0"/>
        </w:sectPr>
      </w:pPr>
    </w:p>
    <w:p>
      <w:pPr>
        <w:pStyle w:val="38"/>
      </w:pPr>
      <w:bookmarkStart w:id="25" w:name="_Toc8391530"/>
      <w:r>
        <w:rPr>
          <w:rFonts w:hint="eastAsia"/>
        </w:rPr>
        <w:t>3 工程分析</w:t>
      </w:r>
      <w:bookmarkEnd w:id="25"/>
    </w:p>
    <w:p>
      <w:pPr>
        <w:pStyle w:val="39"/>
        <w:rPr>
          <w:color w:val="auto"/>
        </w:rPr>
      </w:pPr>
      <w:bookmarkStart w:id="26" w:name="_Toc8391531"/>
      <w:r>
        <w:rPr>
          <w:rFonts w:hint="eastAsia"/>
          <w:color w:val="auto"/>
        </w:rPr>
        <w:t>3.1</w:t>
      </w:r>
      <w:r>
        <w:rPr>
          <w:color w:val="auto"/>
        </w:rPr>
        <w:t xml:space="preserve"> </w:t>
      </w:r>
      <w:r>
        <w:rPr>
          <w:rFonts w:hint="eastAsia"/>
          <w:color w:val="auto"/>
        </w:rPr>
        <w:t>工程概况</w:t>
      </w:r>
      <w:bookmarkEnd w:id="26"/>
    </w:p>
    <w:p>
      <w:pPr>
        <w:spacing w:before="80" w:after="80" w:line="520" w:lineRule="exact"/>
        <w:outlineLvl w:val="2"/>
        <w:rPr>
          <w:rFonts w:ascii="Times New Roman" w:hAnsi="Times New Roman" w:eastAsia="楷体" w:cs="Times New Roman"/>
          <w:sz w:val="28"/>
          <w:szCs w:val="28"/>
        </w:rPr>
      </w:pPr>
      <w:bookmarkStart w:id="27" w:name="_Toc8391532"/>
      <w:bookmarkStart w:id="28" w:name="_Hlk505165915"/>
      <w:r>
        <w:rPr>
          <w:rFonts w:hint="eastAsia" w:ascii="Times New Roman" w:hAnsi="Times New Roman" w:eastAsia="楷体" w:cs="Times New Roman"/>
          <w:sz w:val="28"/>
          <w:szCs w:val="28"/>
        </w:rPr>
        <w:t>3.1.1</w:t>
      </w:r>
      <w:r>
        <w:rPr>
          <w:rFonts w:ascii="Times New Roman" w:hAnsi="Times New Roman" w:eastAsia="楷体" w:cs="Times New Roman"/>
          <w:sz w:val="28"/>
          <w:szCs w:val="28"/>
        </w:rPr>
        <w:t xml:space="preserve"> </w:t>
      </w:r>
      <w:r>
        <w:rPr>
          <w:rFonts w:hint="eastAsia" w:ascii="Times New Roman" w:hAnsi="Times New Roman" w:eastAsia="楷体" w:cs="Times New Roman"/>
          <w:sz w:val="28"/>
          <w:szCs w:val="28"/>
        </w:rPr>
        <w:t>项目概况</w:t>
      </w:r>
      <w:bookmarkEnd w:id="27"/>
    </w:p>
    <w:p>
      <w:pPr>
        <w:widowControl/>
        <w:spacing w:line="480" w:lineRule="exact"/>
        <w:ind w:firstLine="482" w:firstLineChars="200"/>
        <w:rPr>
          <w:rFonts w:ascii="Times New Roman" w:hAnsi="Times New Roman" w:eastAsia="宋体"/>
          <w:b/>
          <w:sz w:val="24"/>
          <w:szCs w:val="24"/>
        </w:rPr>
      </w:pPr>
      <w:r>
        <w:rPr>
          <w:rFonts w:hint="eastAsia" w:ascii="Times New Roman" w:hAnsi="Times New Roman" w:eastAsia="宋体"/>
          <w:b/>
          <w:sz w:val="24"/>
          <w:szCs w:val="24"/>
        </w:rPr>
        <w:t>项目变更前后，</w:t>
      </w:r>
      <w:r>
        <w:rPr>
          <w:rFonts w:ascii="Times New Roman" w:hAnsi="Times New Roman" w:eastAsia="宋体"/>
          <w:b/>
          <w:sz w:val="24"/>
          <w:szCs w:val="24"/>
        </w:rPr>
        <w:t>项目</w:t>
      </w:r>
      <w:r>
        <w:rPr>
          <w:rFonts w:hint="eastAsia" w:ascii="Times New Roman" w:hAnsi="Times New Roman" w:eastAsia="宋体"/>
          <w:b/>
          <w:sz w:val="24"/>
          <w:szCs w:val="24"/>
        </w:rPr>
        <w:t>名称、</w:t>
      </w:r>
      <w:r>
        <w:rPr>
          <w:rFonts w:ascii="Times New Roman" w:hAnsi="Times New Roman" w:eastAsia="宋体"/>
          <w:b/>
          <w:sz w:val="24"/>
          <w:szCs w:val="24"/>
        </w:rPr>
        <w:t>建设</w:t>
      </w:r>
      <w:r>
        <w:rPr>
          <w:rFonts w:hint="eastAsia" w:ascii="Times New Roman" w:hAnsi="Times New Roman" w:eastAsia="宋体"/>
          <w:b/>
          <w:sz w:val="24"/>
          <w:szCs w:val="24"/>
        </w:rPr>
        <w:t>单位、</w:t>
      </w:r>
      <w:r>
        <w:rPr>
          <w:rFonts w:ascii="Times New Roman" w:hAnsi="Times New Roman" w:eastAsia="宋体"/>
          <w:b/>
          <w:sz w:val="24"/>
          <w:szCs w:val="24"/>
        </w:rPr>
        <w:t>建设</w:t>
      </w:r>
      <w:r>
        <w:rPr>
          <w:rFonts w:hint="eastAsia" w:ascii="Times New Roman" w:hAnsi="Times New Roman" w:eastAsia="宋体"/>
          <w:b/>
          <w:sz w:val="24"/>
          <w:szCs w:val="24"/>
        </w:rPr>
        <w:t>地点、占地面积、</w:t>
      </w:r>
      <w:r>
        <w:rPr>
          <w:rFonts w:ascii="Times New Roman" w:hAnsi="Times New Roman" w:eastAsia="宋体"/>
          <w:b/>
          <w:sz w:val="24"/>
          <w:szCs w:val="24"/>
        </w:rPr>
        <w:t>建设</w:t>
      </w:r>
      <w:r>
        <w:rPr>
          <w:rFonts w:hint="eastAsia" w:ascii="Times New Roman" w:hAnsi="Times New Roman" w:eastAsia="宋体"/>
          <w:b/>
          <w:sz w:val="24"/>
          <w:szCs w:val="24"/>
        </w:rPr>
        <w:t>规模、劳动定员及</w:t>
      </w:r>
      <w:r>
        <w:rPr>
          <w:rFonts w:ascii="Times New Roman" w:hAnsi="Times New Roman" w:eastAsia="宋体"/>
          <w:b/>
          <w:sz w:val="24"/>
          <w:szCs w:val="24"/>
        </w:rPr>
        <w:t>工作</w:t>
      </w:r>
      <w:r>
        <w:rPr>
          <w:rFonts w:hint="eastAsia" w:ascii="Times New Roman" w:hAnsi="Times New Roman" w:eastAsia="宋体"/>
          <w:b/>
          <w:sz w:val="24"/>
          <w:szCs w:val="24"/>
        </w:rPr>
        <w:t>制度均未发生变化，主要变化内容为工艺优化，</w:t>
      </w:r>
      <w:r>
        <w:rPr>
          <w:rFonts w:ascii="Times New Roman" w:hAnsi="Times New Roman" w:eastAsia="宋体"/>
          <w:b/>
          <w:sz w:val="24"/>
          <w:szCs w:val="24"/>
        </w:rPr>
        <w:t>具体</w:t>
      </w:r>
      <w:r>
        <w:rPr>
          <w:rFonts w:hint="eastAsia" w:ascii="Times New Roman" w:hAnsi="Times New Roman" w:eastAsia="宋体"/>
          <w:b/>
          <w:sz w:val="24"/>
          <w:szCs w:val="24"/>
        </w:rPr>
        <w:t>见下表。</w:t>
      </w:r>
    </w:p>
    <w:p>
      <w:pPr>
        <w:spacing w:line="480" w:lineRule="exact"/>
        <w:ind w:firstLine="480" w:firstLineChars="200"/>
        <w:rPr>
          <w:rFonts w:ascii="Times New Roman" w:hAnsi="Times New Roman" w:eastAsia="黑体" w:cs="Times New Roman"/>
          <w:sz w:val="24"/>
        </w:rPr>
      </w:pPr>
      <w:r>
        <w:rPr>
          <w:rFonts w:ascii="Times New Roman" w:hAnsi="Times New Roman" w:eastAsia="黑体" w:cs="Times New Roman"/>
          <w:sz w:val="24"/>
        </w:rPr>
        <w:t>表3.1-1         本项目</w:t>
      </w:r>
      <w:r>
        <w:rPr>
          <w:rFonts w:hint="eastAsia" w:ascii="Times New Roman" w:hAnsi="Times New Roman" w:eastAsia="黑体" w:cs="Times New Roman"/>
          <w:sz w:val="24"/>
        </w:rPr>
        <w:t>变更前后</w:t>
      </w:r>
      <w:r>
        <w:rPr>
          <w:rFonts w:ascii="Times New Roman" w:hAnsi="Times New Roman" w:eastAsia="黑体" w:cs="Times New Roman"/>
          <w:sz w:val="24"/>
        </w:rPr>
        <w:t>基本情况</w:t>
      </w:r>
      <w:r>
        <w:rPr>
          <w:rFonts w:hint="eastAsia" w:ascii="Times New Roman" w:hAnsi="Times New Roman" w:eastAsia="黑体" w:cs="Times New Roman"/>
          <w:sz w:val="24"/>
        </w:rPr>
        <w:t>变化情况</w:t>
      </w:r>
      <w:r>
        <w:rPr>
          <w:rFonts w:ascii="Times New Roman" w:hAnsi="Times New Roman" w:eastAsia="黑体" w:cs="Times New Roman"/>
          <w:sz w:val="24"/>
        </w:rPr>
        <w:t>一览表</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6"/>
        <w:gridCol w:w="708"/>
        <w:gridCol w:w="2695"/>
        <w:gridCol w:w="2696"/>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序号</w:t>
            </w:r>
          </w:p>
        </w:tc>
        <w:tc>
          <w:tcPr>
            <w:tcW w:w="1134" w:type="dxa"/>
            <w:gridSpan w:val="2"/>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项目</w:t>
            </w:r>
          </w:p>
        </w:tc>
        <w:tc>
          <w:tcPr>
            <w:tcW w:w="2695"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变更前</w:t>
            </w:r>
          </w:p>
        </w:tc>
        <w:tc>
          <w:tcPr>
            <w:tcW w:w="2696"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变更后</w:t>
            </w:r>
          </w:p>
        </w:tc>
        <w:tc>
          <w:tcPr>
            <w:tcW w:w="1067"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1</w:t>
            </w:r>
          </w:p>
        </w:tc>
        <w:tc>
          <w:tcPr>
            <w:tcW w:w="1134" w:type="dxa"/>
            <w:gridSpan w:val="2"/>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项目名称</w:t>
            </w:r>
          </w:p>
        </w:tc>
        <w:tc>
          <w:tcPr>
            <w:tcW w:w="2695" w:type="dxa"/>
            <w:vAlign w:val="center"/>
          </w:tcPr>
          <w:p>
            <w:pPr>
              <w:widowControl/>
              <w:spacing w:line="240" w:lineRule="exact"/>
              <w:jc w:val="center"/>
              <w:rPr>
                <w:rFonts w:ascii="Times New Roman" w:hAnsi="Times New Roman" w:eastAsia="宋体"/>
                <w:szCs w:val="21"/>
              </w:rPr>
            </w:pPr>
            <w:r>
              <w:rPr>
                <w:rFonts w:ascii="Times New Roman" w:hAnsi="Times New Roman" w:eastAsia="宋体"/>
                <w:szCs w:val="21"/>
              </w:rPr>
              <w:t>河南科瑞斯环保科技有限公司10万吨/年废矿物油综合利用项目</w:t>
            </w:r>
          </w:p>
        </w:tc>
        <w:tc>
          <w:tcPr>
            <w:tcW w:w="2696" w:type="dxa"/>
            <w:vAlign w:val="center"/>
          </w:tcPr>
          <w:p>
            <w:pPr>
              <w:widowControl/>
              <w:spacing w:line="240" w:lineRule="exact"/>
              <w:jc w:val="center"/>
              <w:rPr>
                <w:rFonts w:ascii="Times New Roman" w:hAnsi="Times New Roman" w:eastAsia="宋体"/>
                <w:szCs w:val="21"/>
              </w:rPr>
            </w:pPr>
            <w:r>
              <w:rPr>
                <w:rFonts w:ascii="Times New Roman" w:hAnsi="Times New Roman" w:eastAsia="宋体"/>
                <w:szCs w:val="21"/>
              </w:rPr>
              <w:t>河南科瑞斯环保科技有限公司10万吨/年废矿物油综合利用项目</w:t>
            </w:r>
          </w:p>
        </w:tc>
        <w:tc>
          <w:tcPr>
            <w:tcW w:w="1067"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2</w:t>
            </w:r>
          </w:p>
        </w:tc>
        <w:tc>
          <w:tcPr>
            <w:tcW w:w="1134" w:type="dxa"/>
            <w:gridSpan w:val="2"/>
            <w:vAlign w:val="center"/>
          </w:tcPr>
          <w:p>
            <w:pPr>
              <w:widowControl/>
              <w:spacing w:line="240" w:lineRule="exact"/>
              <w:jc w:val="center"/>
              <w:rPr>
                <w:rFonts w:ascii="Times New Roman" w:hAnsi="Times New Roman" w:eastAsia="宋体"/>
                <w:szCs w:val="21"/>
              </w:rPr>
            </w:pPr>
            <w:r>
              <w:rPr>
                <w:rFonts w:ascii="Times New Roman" w:hAnsi="Times New Roman" w:eastAsia="宋体"/>
                <w:szCs w:val="21"/>
              </w:rPr>
              <w:t>建设单位</w:t>
            </w:r>
          </w:p>
        </w:tc>
        <w:tc>
          <w:tcPr>
            <w:tcW w:w="2695" w:type="dxa"/>
            <w:vAlign w:val="center"/>
          </w:tcPr>
          <w:p>
            <w:pPr>
              <w:widowControl/>
              <w:spacing w:line="240" w:lineRule="exact"/>
              <w:jc w:val="center"/>
              <w:rPr>
                <w:rFonts w:ascii="Times New Roman" w:hAnsi="Times New Roman" w:eastAsia="宋体"/>
                <w:szCs w:val="21"/>
              </w:rPr>
            </w:pPr>
            <w:r>
              <w:rPr>
                <w:rFonts w:ascii="Times New Roman" w:hAnsi="Times New Roman" w:eastAsia="宋体"/>
                <w:szCs w:val="21"/>
              </w:rPr>
              <w:t>河南科瑞斯环保科技有限公司</w:t>
            </w:r>
          </w:p>
        </w:tc>
        <w:tc>
          <w:tcPr>
            <w:tcW w:w="2696" w:type="dxa"/>
            <w:vAlign w:val="center"/>
          </w:tcPr>
          <w:p>
            <w:pPr>
              <w:widowControl/>
              <w:spacing w:line="240" w:lineRule="exact"/>
              <w:jc w:val="center"/>
              <w:rPr>
                <w:rFonts w:ascii="Times New Roman" w:hAnsi="Times New Roman" w:eastAsia="宋体"/>
                <w:szCs w:val="21"/>
              </w:rPr>
            </w:pPr>
            <w:r>
              <w:rPr>
                <w:rFonts w:ascii="Times New Roman" w:hAnsi="Times New Roman" w:eastAsia="宋体"/>
                <w:szCs w:val="21"/>
              </w:rPr>
              <w:t>河南科瑞斯环保科技有限公司</w:t>
            </w:r>
          </w:p>
        </w:tc>
        <w:tc>
          <w:tcPr>
            <w:tcW w:w="1067"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3</w:t>
            </w:r>
          </w:p>
        </w:tc>
        <w:tc>
          <w:tcPr>
            <w:tcW w:w="1134" w:type="dxa"/>
            <w:gridSpan w:val="2"/>
            <w:vAlign w:val="center"/>
          </w:tcPr>
          <w:p>
            <w:pPr>
              <w:widowControl/>
              <w:spacing w:line="240" w:lineRule="exact"/>
              <w:jc w:val="center"/>
              <w:rPr>
                <w:rFonts w:ascii="Times New Roman" w:hAnsi="Times New Roman" w:eastAsia="宋体"/>
                <w:szCs w:val="21"/>
              </w:rPr>
            </w:pPr>
            <w:r>
              <w:rPr>
                <w:rFonts w:ascii="Times New Roman" w:hAnsi="Times New Roman" w:eastAsia="宋体"/>
                <w:szCs w:val="21"/>
              </w:rPr>
              <w:t>建设地点</w:t>
            </w:r>
          </w:p>
        </w:tc>
        <w:tc>
          <w:tcPr>
            <w:tcW w:w="2695" w:type="dxa"/>
            <w:vAlign w:val="center"/>
          </w:tcPr>
          <w:p>
            <w:pPr>
              <w:widowControl/>
              <w:spacing w:line="240" w:lineRule="exact"/>
              <w:jc w:val="center"/>
              <w:rPr>
                <w:rFonts w:ascii="Times New Roman" w:hAnsi="Times New Roman" w:eastAsia="宋体"/>
                <w:szCs w:val="21"/>
              </w:rPr>
            </w:pPr>
            <w:r>
              <w:rPr>
                <w:rFonts w:ascii="Times New Roman" w:hAnsi="Times New Roman" w:eastAsia="宋体"/>
                <w:szCs w:val="21"/>
              </w:rPr>
              <w:t>濮阳市高新经济技术开发区工业园区濮源路与建设西路交叉口西北角</w:t>
            </w:r>
          </w:p>
        </w:tc>
        <w:tc>
          <w:tcPr>
            <w:tcW w:w="2696" w:type="dxa"/>
            <w:vAlign w:val="center"/>
          </w:tcPr>
          <w:p>
            <w:pPr>
              <w:widowControl/>
              <w:spacing w:line="240" w:lineRule="exact"/>
              <w:jc w:val="center"/>
              <w:rPr>
                <w:rFonts w:ascii="Times New Roman" w:hAnsi="Times New Roman" w:eastAsia="宋体"/>
                <w:szCs w:val="21"/>
              </w:rPr>
            </w:pPr>
            <w:r>
              <w:rPr>
                <w:rFonts w:ascii="Times New Roman" w:hAnsi="Times New Roman" w:eastAsia="宋体"/>
                <w:szCs w:val="21"/>
              </w:rPr>
              <w:t>濮阳市高新经济技术开发区工业园区濮源路与建设西路交叉口西北角</w:t>
            </w:r>
          </w:p>
        </w:tc>
        <w:tc>
          <w:tcPr>
            <w:tcW w:w="1067"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4</w:t>
            </w:r>
          </w:p>
        </w:tc>
        <w:tc>
          <w:tcPr>
            <w:tcW w:w="1134" w:type="dxa"/>
            <w:gridSpan w:val="2"/>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建设规模</w:t>
            </w:r>
          </w:p>
        </w:tc>
        <w:tc>
          <w:tcPr>
            <w:tcW w:w="2695"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10万吨/年</w:t>
            </w:r>
          </w:p>
        </w:tc>
        <w:tc>
          <w:tcPr>
            <w:tcW w:w="2696"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10万吨/年</w:t>
            </w:r>
          </w:p>
        </w:tc>
        <w:tc>
          <w:tcPr>
            <w:tcW w:w="1067"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5</w:t>
            </w:r>
          </w:p>
        </w:tc>
        <w:tc>
          <w:tcPr>
            <w:tcW w:w="1134" w:type="dxa"/>
            <w:gridSpan w:val="2"/>
            <w:vAlign w:val="center"/>
          </w:tcPr>
          <w:p>
            <w:pPr>
              <w:widowControl/>
              <w:spacing w:line="240" w:lineRule="exact"/>
              <w:jc w:val="center"/>
              <w:rPr>
                <w:rFonts w:ascii="Times New Roman" w:hAnsi="Times New Roman" w:eastAsia="宋体"/>
                <w:szCs w:val="21"/>
              </w:rPr>
            </w:pPr>
            <w:r>
              <w:rPr>
                <w:rFonts w:ascii="Times New Roman" w:hAnsi="Times New Roman" w:eastAsia="宋体"/>
                <w:szCs w:val="21"/>
              </w:rPr>
              <w:t>占地面积</w:t>
            </w:r>
          </w:p>
        </w:tc>
        <w:tc>
          <w:tcPr>
            <w:tcW w:w="2695" w:type="dxa"/>
            <w:vAlign w:val="center"/>
          </w:tcPr>
          <w:p>
            <w:pPr>
              <w:widowControl/>
              <w:spacing w:line="240" w:lineRule="exact"/>
              <w:jc w:val="center"/>
              <w:rPr>
                <w:rFonts w:ascii="Times New Roman" w:hAnsi="Times New Roman" w:eastAsia="宋体"/>
                <w:szCs w:val="21"/>
              </w:rPr>
            </w:pPr>
            <w:r>
              <w:rPr>
                <w:rFonts w:ascii="Times New Roman" w:hAnsi="Times New Roman" w:eastAsia="宋体"/>
                <w:szCs w:val="21"/>
              </w:rPr>
              <w:t>约100亩</w:t>
            </w:r>
          </w:p>
        </w:tc>
        <w:tc>
          <w:tcPr>
            <w:tcW w:w="2696" w:type="dxa"/>
            <w:vAlign w:val="center"/>
          </w:tcPr>
          <w:p>
            <w:pPr>
              <w:widowControl/>
              <w:spacing w:line="240" w:lineRule="exact"/>
              <w:jc w:val="center"/>
              <w:rPr>
                <w:rFonts w:ascii="Times New Roman" w:hAnsi="Times New Roman" w:eastAsia="宋体"/>
                <w:szCs w:val="21"/>
              </w:rPr>
            </w:pPr>
            <w:r>
              <w:rPr>
                <w:rFonts w:ascii="Times New Roman" w:hAnsi="Times New Roman" w:eastAsia="宋体"/>
                <w:szCs w:val="21"/>
              </w:rPr>
              <w:t>约100亩</w:t>
            </w:r>
          </w:p>
        </w:tc>
        <w:tc>
          <w:tcPr>
            <w:tcW w:w="1067"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6</w:t>
            </w:r>
          </w:p>
        </w:tc>
        <w:tc>
          <w:tcPr>
            <w:tcW w:w="1134" w:type="dxa"/>
            <w:gridSpan w:val="2"/>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原辅材料</w:t>
            </w:r>
          </w:p>
        </w:tc>
        <w:tc>
          <w:tcPr>
            <w:tcW w:w="2695" w:type="dxa"/>
            <w:vAlign w:val="center"/>
          </w:tcPr>
          <w:p>
            <w:pPr>
              <w:widowControl/>
              <w:spacing w:line="240" w:lineRule="exact"/>
              <w:rPr>
                <w:rFonts w:ascii="Times New Roman" w:hAnsi="Times New Roman" w:eastAsia="宋体"/>
                <w:szCs w:val="21"/>
              </w:rPr>
            </w:pPr>
            <w:r>
              <w:rPr>
                <w:rFonts w:hint="eastAsia" w:ascii="Times New Roman" w:hAnsi="Times New Roman" w:eastAsia="宋体"/>
                <w:szCs w:val="21"/>
              </w:rPr>
              <w:t>废矿物油与含矿物油废物（</w:t>
            </w:r>
            <w:r>
              <w:rPr>
                <w:rFonts w:ascii="Times New Roman" w:hAnsi="Times New Roman" w:eastAsia="宋体" w:cs="Times New Roman"/>
                <w:szCs w:val="21"/>
              </w:rPr>
              <w:t>251-001-08</w:t>
            </w:r>
            <w:r>
              <w:rPr>
                <w:rFonts w:hint="eastAsia" w:ascii="Times New Roman" w:hAnsi="Times New Roman" w:eastAsia="宋体" w:cs="Times New Roman"/>
                <w:szCs w:val="21"/>
              </w:rPr>
              <w:t>，</w:t>
            </w:r>
            <w:r>
              <w:rPr>
                <w:rFonts w:ascii="Times New Roman" w:hAnsi="Times New Roman" w:eastAsia="宋体" w:cs="Times New Roman"/>
                <w:szCs w:val="21"/>
              </w:rPr>
              <w:t>251-005-08</w:t>
            </w:r>
            <w:r>
              <w:rPr>
                <w:rFonts w:hint="eastAsia" w:ascii="Times New Roman" w:hAnsi="Times New Roman" w:eastAsia="宋体" w:cs="Times New Roman"/>
                <w:szCs w:val="21"/>
              </w:rPr>
              <w:t>，</w:t>
            </w:r>
            <w:r>
              <w:rPr>
                <w:rFonts w:ascii="Times New Roman" w:hAnsi="Times New Roman" w:eastAsia="宋体" w:cs="Times New Roman"/>
                <w:szCs w:val="21"/>
              </w:rPr>
              <w:t>900-199-08</w:t>
            </w:r>
            <w:r>
              <w:rPr>
                <w:rFonts w:hint="eastAsia" w:ascii="Times New Roman" w:hAnsi="Times New Roman" w:eastAsia="宋体" w:cs="Times New Roman"/>
                <w:szCs w:val="21"/>
              </w:rPr>
              <w:t>，</w:t>
            </w:r>
            <w:r>
              <w:rPr>
                <w:rFonts w:ascii="Times New Roman" w:hAnsi="Times New Roman" w:eastAsia="宋体" w:cs="Times New Roman"/>
                <w:szCs w:val="21"/>
              </w:rPr>
              <w:t>900-200-08</w:t>
            </w:r>
            <w:r>
              <w:rPr>
                <w:rFonts w:hint="eastAsia" w:ascii="Times New Roman" w:hAnsi="Times New Roman" w:eastAsia="宋体" w:cs="Times New Roman"/>
                <w:szCs w:val="21"/>
              </w:rPr>
              <w:t>，</w:t>
            </w:r>
            <w:r>
              <w:rPr>
                <w:rFonts w:ascii="Times New Roman" w:hAnsi="Times New Roman" w:eastAsia="宋体" w:cs="Times New Roman"/>
                <w:szCs w:val="21"/>
              </w:rPr>
              <w:t>900-201-08</w:t>
            </w:r>
            <w:r>
              <w:rPr>
                <w:rFonts w:hint="eastAsia" w:ascii="Times New Roman" w:hAnsi="Times New Roman" w:eastAsia="宋体" w:cs="Times New Roman"/>
                <w:szCs w:val="21"/>
              </w:rPr>
              <w:t>，</w:t>
            </w:r>
            <w:r>
              <w:rPr>
                <w:rFonts w:ascii="Times New Roman" w:hAnsi="Times New Roman" w:eastAsia="宋体" w:cs="Times New Roman"/>
                <w:szCs w:val="21"/>
              </w:rPr>
              <w:t>900-203-08</w:t>
            </w:r>
            <w:r>
              <w:rPr>
                <w:rFonts w:hint="eastAsia" w:ascii="Times New Roman" w:hAnsi="Times New Roman" w:eastAsia="宋体" w:cs="Times New Roman"/>
                <w:szCs w:val="21"/>
              </w:rPr>
              <w:t>，</w:t>
            </w:r>
            <w:r>
              <w:rPr>
                <w:rFonts w:ascii="Times New Roman" w:hAnsi="Times New Roman" w:eastAsia="宋体" w:cs="Times New Roman"/>
                <w:szCs w:val="21"/>
              </w:rPr>
              <w:t>900-204-08</w:t>
            </w:r>
            <w:r>
              <w:rPr>
                <w:rFonts w:hint="eastAsia" w:ascii="Times New Roman" w:hAnsi="Times New Roman" w:eastAsia="宋体" w:cs="Times New Roman"/>
                <w:szCs w:val="21"/>
              </w:rPr>
              <w:t>，</w:t>
            </w:r>
            <w:r>
              <w:rPr>
                <w:rFonts w:ascii="Times New Roman" w:hAnsi="Times New Roman" w:eastAsia="宋体" w:cs="Times New Roman"/>
                <w:szCs w:val="21"/>
              </w:rPr>
              <w:t>900-205-08</w:t>
            </w:r>
            <w:r>
              <w:rPr>
                <w:rFonts w:hint="eastAsia" w:ascii="Times New Roman" w:hAnsi="Times New Roman" w:eastAsia="宋体" w:cs="Times New Roman"/>
                <w:szCs w:val="21"/>
              </w:rPr>
              <w:t>，</w:t>
            </w:r>
            <w:r>
              <w:rPr>
                <w:rFonts w:ascii="Times New Roman" w:hAnsi="Times New Roman" w:eastAsia="宋体" w:cs="Times New Roman"/>
                <w:szCs w:val="21"/>
              </w:rPr>
              <w:t>900-209-08</w:t>
            </w:r>
            <w:r>
              <w:rPr>
                <w:rFonts w:hint="eastAsia" w:ascii="Times New Roman" w:hAnsi="Times New Roman" w:eastAsia="宋体" w:cs="Times New Roman"/>
                <w:szCs w:val="21"/>
              </w:rPr>
              <w:t>，</w:t>
            </w:r>
            <w:r>
              <w:rPr>
                <w:rFonts w:ascii="Times New Roman" w:hAnsi="Times New Roman" w:eastAsia="宋体" w:cs="Times New Roman"/>
                <w:szCs w:val="21"/>
              </w:rPr>
              <w:t>900-210-08</w:t>
            </w:r>
            <w:r>
              <w:rPr>
                <w:rFonts w:hint="eastAsia" w:ascii="Times New Roman" w:hAnsi="Times New Roman" w:eastAsia="宋体" w:cs="Times New Roman"/>
                <w:szCs w:val="21"/>
              </w:rPr>
              <w:t>，</w:t>
            </w:r>
            <w:r>
              <w:rPr>
                <w:rFonts w:ascii="Times New Roman" w:hAnsi="Times New Roman" w:eastAsia="宋体" w:cs="Times New Roman"/>
                <w:szCs w:val="21"/>
              </w:rPr>
              <w:t>900-211-08</w:t>
            </w:r>
            <w:r>
              <w:rPr>
                <w:rFonts w:hint="eastAsia" w:ascii="Times New Roman" w:hAnsi="Times New Roman" w:eastAsia="宋体" w:cs="Times New Roman"/>
                <w:szCs w:val="21"/>
              </w:rPr>
              <w:t>，</w:t>
            </w:r>
            <w:r>
              <w:rPr>
                <w:rFonts w:ascii="Times New Roman" w:hAnsi="Times New Roman" w:eastAsia="宋体" w:cs="Times New Roman"/>
                <w:szCs w:val="21"/>
              </w:rPr>
              <w:t>900-212-08</w:t>
            </w:r>
            <w:r>
              <w:rPr>
                <w:rFonts w:hint="eastAsia" w:ascii="Times New Roman" w:hAnsi="Times New Roman" w:eastAsia="宋体" w:cs="Times New Roman"/>
                <w:szCs w:val="21"/>
              </w:rPr>
              <w:t>，</w:t>
            </w:r>
            <w:r>
              <w:rPr>
                <w:rFonts w:ascii="Times New Roman" w:hAnsi="Times New Roman" w:eastAsia="宋体" w:cs="Times New Roman"/>
                <w:szCs w:val="21"/>
              </w:rPr>
              <w:t>900-214-08</w:t>
            </w:r>
            <w:r>
              <w:rPr>
                <w:rFonts w:hint="eastAsia" w:ascii="Times New Roman" w:hAnsi="Times New Roman" w:eastAsia="宋体" w:cs="Times New Roman"/>
                <w:szCs w:val="21"/>
              </w:rPr>
              <w:t>，</w:t>
            </w:r>
            <w:r>
              <w:rPr>
                <w:rFonts w:ascii="Times New Roman" w:hAnsi="Times New Roman" w:eastAsia="宋体" w:cs="Times New Roman"/>
                <w:szCs w:val="21"/>
              </w:rPr>
              <w:t>900-216-08</w:t>
            </w:r>
            <w:r>
              <w:rPr>
                <w:rFonts w:hint="eastAsia" w:ascii="Times New Roman" w:hAnsi="Times New Roman" w:eastAsia="宋体" w:cs="Times New Roman"/>
                <w:szCs w:val="21"/>
              </w:rPr>
              <w:t>，</w:t>
            </w:r>
            <w:r>
              <w:rPr>
                <w:rFonts w:ascii="Times New Roman" w:hAnsi="Times New Roman" w:eastAsia="宋体" w:cs="Times New Roman"/>
                <w:szCs w:val="21"/>
              </w:rPr>
              <w:t>900-217-08</w:t>
            </w:r>
            <w:r>
              <w:rPr>
                <w:rFonts w:hint="eastAsia" w:ascii="Times New Roman" w:hAnsi="Times New Roman" w:eastAsia="宋体" w:cs="Times New Roman"/>
                <w:szCs w:val="21"/>
              </w:rPr>
              <w:t>，</w:t>
            </w:r>
            <w:r>
              <w:rPr>
                <w:rFonts w:ascii="Times New Roman" w:hAnsi="Times New Roman" w:eastAsia="宋体" w:cs="Times New Roman"/>
                <w:szCs w:val="21"/>
              </w:rPr>
              <w:t>900-218-08</w:t>
            </w:r>
            <w:r>
              <w:rPr>
                <w:rFonts w:hint="eastAsia" w:ascii="Times New Roman" w:hAnsi="Times New Roman" w:eastAsia="宋体" w:cs="Times New Roman"/>
                <w:szCs w:val="21"/>
              </w:rPr>
              <w:t>，</w:t>
            </w:r>
            <w:r>
              <w:rPr>
                <w:rFonts w:ascii="Times New Roman" w:hAnsi="Times New Roman" w:eastAsia="宋体" w:cs="Times New Roman"/>
                <w:szCs w:val="21"/>
              </w:rPr>
              <w:t>900-219-08</w:t>
            </w:r>
            <w:r>
              <w:rPr>
                <w:rFonts w:hint="eastAsia" w:ascii="Times New Roman" w:hAnsi="Times New Roman" w:eastAsia="宋体" w:cs="Times New Roman"/>
                <w:szCs w:val="21"/>
              </w:rPr>
              <w:t>，</w:t>
            </w:r>
            <w:r>
              <w:rPr>
                <w:rFonts w:ascii="Times New Roman" w:hAnsi="Times New Roman" w:eastAsia="宋体" w:cs="Times New Roman"/>
                <w:szCs w:val="21"/>
              </w:rPr>
              <w:t>900-220-08</w:t>
            </w:r>
            <w:r>
              <w:rPr>
                <w:rFonts w:hint="eastAsia" w:ascii="Times New Roman" w:hAnsi="Times New Roman" w:eastAsia="宋体" w:cs="Times New Roman"/>
                <w:szCs w:val="21"/>
              </w:rPr>
              <w:t>，</w:t>
            </w:r>
            <w:r>
              <w:rPr>
                <w:rFonts w:ascii="Times New Roman" w:hAnsi="Times New Roman" w:eastAsia="宋体" w:cs="Times New Roman"/>
                <w:szCs w:val="21"/>
              </w:rPr>
              <w:t>900-222-08</w:t>
            </w:r>
            <w:r>
              <w:rPr>
                <w:rFonts w:hint="eastAsia" w:ascii="Times New Roman" w:hAnsi="Times New Roman" w:eastAsia="宋体" w:cs="Times New Roman"/>
                <w:szCs w:val="21"/>
              </w:rPr>
              <w:t>，</w:t>
            </w:r>
            <w:r>
              <w:rPr>
                <w:rFonts w:ascii="Times New Roman" w:hAnsi="Times New Roman" w:eastAsia="宋体" w:cs="Times New Roman"/>
                <w:szCs w:val="21"/>
              </w:rPr>
              <w:t>900-249-08</w:t>
            </w:r>
            <w:r>
              <w:rPr>
                <w:rFonts w:ascii="Times New Roman" w:hAnsi="Times New Roman" w:eastAsia="宋体"/>
                <w:szCs w:val="21"/>
              </w:rPr>
              <w:t>）</w:t>
            </w:r>
            <w:r>
              <w:rPr>
                <w:rFonts w:hint="eastAsia" w:ascii="Times New Roman" w:hAnsi="Times New Roman" w:eastAsia="宋体"/>
                <w:szCs w:val="21"/>
              </w:rPr>
              <w:t>、</w:t>
            </w:r>
            <w:r>
              <w:rPr>
                <w:rFonts w:ascii="Times New Roman" w:hAnsi="Times New Roman" w:eastAsia="宋体"/>
                <w:szCs w:val="21"/>
              </w:rPr>
              <w:t>丙烷</w:t>
            </w:r>
            <w:r>
              <w:rPr>
                <w:rFonts w:hint="eastAsia" w:ascii="Times New Roman" w:hAnsi="Times New Roman" w:eastAsia="宋体"/>
                <w:szCs w:val="21"/>
              </w:rPr>
              <w:t>、</w:t>
            </w:r>
            <w:r>
              <w:rPr>
                <w:rFonts w:ascii="Times New Roman" w:hAnsi="Times New Roman" w:eastAsia="宋体"/>
                <w:szCs w:val="21"/>
              </w:rPr>
              <w:t>糠醛</w:t>
            </w:r>
            <w:r>
              <w:rPr>
                <w:rFonts w:hint="eastAsia" w:ascii="Times New Roman" w:hAnsi="Times New Roman" w:eastAsia="宋体"/>
                <w:szCs w:val="21"/>
              </w:rPr>
              <w:t>、</w:t>
            </w:r>
            <w:r>
              <w:rPr>
                <w:rFonts w:ascii="Times New Roman" w:hAnsi="Times New Roman" w:eastAsia="宋体"/>
                <w:szCs w:val="21"/>
              </w:rPr>
              <w:t>分子筛</w:t>
            </w:r>
          </w:p>
        </w:tc>
        <w:tc>
          <w:tcPr>
            <w:tcW w:w="2696" w:type="dxa"/>
            <w:vAlign w:val="center"/>
          </w:tcPr>
          <w:p>
            <w:pPr>
              <w:spacing w:line="240" w:lineRule="exact"/>
              <w:rPr>
                <w:rFonts w:ascii="Times New Roman" w:hAnsi="Times New Roman" w:eastAsia="宋体"/>
                <w:szCs w:val="21"/>
              </w:rPr>
            </w:pPr>
            <w:r>
              <w:rPr>
                <w:rFonts w:hint="eastAsia" w:ascii="Times New Roman" w:hAnsi="Times New Roman" w:eastAsia="宋体"/>
                <w:szCs w:val="21"/>
              </w:rPr>
              <w:t>废矿物油与含矿物油废物（</w:t>
            </w:r>
            <w:r>
              <w:rPr>
                <w:rFonts w:ascii="Times New Roman" w:hAnsi="Times New Roman" w:eastAsia="宋体"/>
                <w:szCs w:val="21"/>
              </w:rPr>
              <w:t>900-199-08</w:t>
            </w:r>
            <w:r>
              <w:rPr>
                <w:rFonts w:hint="eastAsia" w:ascii="Times New Roman" w:hAnsi="Times New Roman" w:eastAsia="宋体"/>
                <w:szCs w:val="21"/>
              </w:rPr>
              <w:t>，</w:t>
            </w:r>
            <w:r>
              <w:rPr>
                <w:rFonts w:ascii="Times New Roman" w:hAnsi="Times New Roman" w:eastAsia="宋体"/>
                <w:szCs w:val="21"/>
              </w:rPr>
              <w:t>900-200-08</w:t>
            </w:r>
            <w:r>
              <w:rPr>
                <w:rFonts w:hint="eastAsia" w:ascii="Times New Roman" w:hAnsi="Times New Roman" w:eastAsia="宋体"/>
                <w:szCs w:val="21"/>
              </w:rPr>
              <w:t>，</w:t>
            </w:r>
            <w:r>
              <w:rPr>
                <w:rFonts w:ascii="Times New Roman" w:hAnsi="Times New Roman" w:eastAsia="宋体"/>
                <w:szCs w:val="21"/>
              </w:rPr>
              <w:t>900-201-08</w:t>
            </w:r>
            <w:r>
              <w:rPr>
                <w:rFonts w:hint="eastAsia" w:ascii="Times New Roman" w:hAnsi="Times New Roman" w:eastAsia="宋体"/>
                <w:szCs w:val="21"/>
              </w:rPr>
              <w:t>，</w:t>
            </w:r>
            <w:r>
              <w:rPr>
                <w:rFonts w:ascii="Times New Roman" w:hAnsi="Times New Roman" w:eastAsia="宋体"/>
                <w:szCs w:val="21"/>
              </w:rPr>
              <w:t>900-203-08</w:t>
            </w:r>
            <w:r>
              <w:rPr>
                <w:rFonts w:hint="eastAsia" w:ascii="Times New Roman" w:hAnsi="Times New Roman" w:eastAsia="宋体"/>
                <w:szCs w:val="21"/>
              </w:rPr>
              <w:t>，</w:t>
            </w:r>
            <w:r>
              <w:rPr>
                <w:rFonts w:ascii="Times New Roman" w:hAnsi="Times New Roman" w:eastAsia="宋体"/>
                <w:szCs w:val="21"/>
              </w:rPr>
              <w:t>900-204-08</w:t>
            </w:r>
            <w:r>
              <w:rPr>
                <w:rFonts w:hint="eastAsia" w:ascii="Times New Roman" w:hAnsi="Times New Roman" w:eastAsia="宋体"/>
                <w:szCs w:val="21"/>
              </w:rPr>
              <w:t>，</w:t>
            </w:r>
            <w:r>
              <w:rPr>
                <w:rFonts w:ascii="Times New Roman" w:hAnsi="Times New Roman" w:eastAsia="宋体"/>
                <w:szCs w:val="21"/>
              </w:rPr>
              <w:t>900-205-08</w:t>
            </w:r>
            <w:r>
              <w:rPr>
                <w:rFonts w:hint="eastAsia" w:ascii="Times New Roman" w:hAnsi="Times New Roman" w:eastAsia="宋体"/>
                <w:szCs w:val="21"/>
              </w:rPr>
              <w:t>，</w:t>
            </w:r>
            <w:r>
              <w:rPr>
                <w:rFonts w:ascii="Times New Roman" w:hAnsi="Times New Roman" w:eastAsia="宋体"/>
                <w:szCs w:val="21"/>
              </w:rPr>
              <w:t>900-209-08</w:t>
            </w:r>
            <w:r>
              <w:rPr>
                <w:rFonts w:hint="eastAsia" w:ascii="Times New Roman" w:hAnsi="Times New Roman" w:eastAsia="宋体"/>
                <w:szCs w:val="21"/>
              </w:rPr>
              <w:t>，</w:t>
            </w:r>
            <w:r>
              <w:rPr>
                <w:rFonts w:ascii="Times New Roman" w:hAnsi="Times New Roman" w:eastAsia="宋体"/>
                <w:szCs w:val="21"/>
              </w:rPr>
              <w:t>900-210-08</w:t>
            </w:r>
            <w:r>
              <w:rPr>
                <w:rFonts w:hint="eastAsia" w:ascii="Times New Roman" w:hAnsi="Times New Roman" w:eastAsia="宋体"/>
                <w:szCs w:val="21"/>
              </w:rPr>
              <w:t>，</w:t>
            </w:r>
            <w:r>
              <w:rPr>
                <w:rFonts w:ascii="Times New Roman" w:hAnsi="Times New Roman" w:eastAsia="宋体"/>
                <w:szCs w:val="21"/>
              </w:rPr>
              <w:t>900-211-08</w:t>
            </w:r>
            <w:r>
              <w:rPr>
                <w:rFonts w:hint="eastAsia" w:ascii="Times New Roman" w:hAnsi="Times New Roman" w:eastAsia="宋体"/>
                <w:szCs w:val="21"/>
              </w:rPr>
              <w:t>，</w:t>
            </w:r>
            <w:r>
              <w:rPr>
                <w:rFonts w:ascii="Times New Roman" w:hAnsi="Times New Roman" w:eastAsia="宋体"/>
                <w:szCs w:val="21"/>
              </w:rPr>
              <w:t>900-212-08</w:t>
            </w:r>
            <w:r>
              <w:rPr>
                <w:rFonts w:hint="eastAsia" w:ascii="Times New Roman" w:hAnsi="Times New Roman" w:eastAsia="宋体"/>
                <w:szCs w:val="21"/>
              </w:rPr>
              <w:t>，</w:t>
            </w:r>
            <w:r>
              <w:rPr>
                <w:rFonts w:ascii="Times New Roman" w:hAnsi="Times New Roman" w:eastAsia="宋体"/>
                <w:szCs w:val="21"/>
              </w:rPr>
              <w:t>900-214-08</w:t>
            </w:r>
            <w:r>
              <w:rPr>
                <w:rFonts w:hint="eastAsia" w:ascii="Times New Roman" w:hAnsi="Times New Roman" w:eastAsia="宋体"/>
                <w:szCs w:val="21"/>
              </w:rPr>
              <w:t>，</w:t>
            </w:r>
            <w:r>
              <w:rPr>
                <w:rFonts w:ascii="Times New Roman" w:hAnsi="Times New Roman" w:eastAsia="宋体"/>
                <w:szCs w:val="21"/>
              </w:rPr>
              <w:t>900-216-08</w:t>
            </w:r>
            <w:r>
              <w:rPr>
                <w:rFonts w:hint="eastAsia" w:ascii="Times New Roman" w:hAnsi="Times New Roman" w:eastAsia="宋体"/>
                <w:szCs w:val="21"/>
              </w:rPr>
              <w:t>，</w:t>
            </w:r>
            <w:r>
              <w:rPr>
                <w:rFonts w:ascii="Times New Roman" w:hAnsi="Times New Roman" w:eastAsia="宋体"/>
                <w:szCs w:val="21"/>
              </w:rPr>
              <w:t>900-217-08</w:t>
            </w:r>
            <w:r>
              <w:rPr>
                <w:rFonts w:hint="eastAsia" w:ascii="Times New Roman" w:hAnsi="Times New Roman" w:eastAsia="宋体"/>
                <w:szCs w:val="21"/>
              </w:rPr>
              <w:t>，</w:t>
            </w:r>
            <w:r>
              <w:rPr>
                <w:rFonts w:ascii="Times New Roman" w:hAnsi="Times New Roman" w:eastAsia="宋体"/>
                <w:szCs w:val="21"/>
              </w:rPr>
              <w:t>900-218-08</w:t>
            </w:r>
            <w:r>
              <w:rPr>
                <w:rFonts w:hint="eastAsia" w:ascii="Times New Roman" w:hAnsi="Times New Roman" w:eastAsia="宋体"/>
                <w:szCs w:val="21"/>
              </w:rPr>
              <w:t>，</w:t>
            </w:r>
            <w:r>
              <w:rPr>
                <w:rFonts w:ascii="Times New Roman" w:hAnsi="Times New Roman" w:eastAsia="宋体"/>
                <w:szCs w:val="21"/>
              </w:rPr>
              <w:t>900-219-08</w:t>
            </w:r>
            <w:r>
              <w:rPr>
                <w:rFonts w:hint="eastAsia" w:ascii="Times New Roman" w:hAnsi="Times New Roman" w:eastAsia="宋体"/>
                <w:szCs w:val="21"/>
              </w:rPr>
              <w:t>，</w:t>
            </w:r>
            <w:r>
              <w:rPr>
                <w:rFonts w:ascii="Times New Roman" w:hAnsi="Times New Roman" w:eastAsia="宋体"/>
                <w:szCs w:val="21"/>
              </w:rPr>
              <w:t>900-220-08</w:t>
            </w:r>
            <w:r>
              <w:rPr>
                <w:rFonts w:hint="eastAsia" w:ascii="Times New Roman" w:hAnsi="Times New Roman" w:eastAsia="宋体"/>
                <w:szCs w:val="21"/>
              </w:rPr>
              <w:t>，</w:t>
            </w:r>
            <w:r>
              <w:rPr>
                <w:rFonts w:ascii="Times New Roman" w:hAnsi="Times New Roman" w:eastAsia="宋体"/>
                <w:szCs w:val="21"/>
              </w:rPr>
              <w:t>900-222-08</w:t>
            </w:r>
            <w:r>
              <w:rPr>
                <w:rFonts w:hint="eastAsia" w:ascii="Times New Roman" w:hAnsi="Times New Roman" w:eastAsia="宋体"/>
                <w:szCs w:val="21"/>
              </w:rPr>
              <w:t>，</w:t>
            </w:r>
            <w:r>
              <w:rPr>
                <w:rFonts w:ascii="Times New Roman" w:hAnsi="Times New Roman" w:eastAsia="宋体"/>
                <w:szCs w:val="21"/>
              </w:rPr>
              <w:t>900-249-08）</w:t>
            </w:r>
            <w:r>
              <w:rPr>
                <w:rFonts w:hint="eastAsia" w:ascii="Times New Roman" w:hAnsi="Times New Roman" w:eastAsia="宋体"/>
                <w:szCs w:val="21"/>
              </w:rPr>
              <w:t>、</w:t>
            </w:r>
            <w:r>
              <w:rPr>
                <w:rFonts w:ascii="Times New Roman" w:hAnsi="Times New Roman" w:eastAsia="宋体"/>
                <w:szCs w:val="21"/>
              </w:rPr>
              <w:t>丙烷</w:t>
            </w:r>
            <w:r>
              <w:rPr>
                <w:rFonts w:hint="eastAsia" w:ascii="Times New Roman" w:hAnsi="Times New Roman" w:eastAsia="宋体"/>
                <w:szCs w:val="21"/>
              </w:rPr>
              <w:t>、</w:t>
            </w:r>
            <w:r>
              <w:rPr>
                <w:rFonts w:ascii="Times New Roman" w:hAnsi="Times New Roman" w:eastAsia="宋体"/>
                <w:szCs w:val="21"/>
              </w:rPr>
              <w:t>分子筛</w:t>
            </w:r>
          </w:p>
        </w:tc>
        <w:tc>
          <w:tcPr>
            <w:tcW w:w="1067"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原料中去掉去掉</w:t>
            </w:r>
            <w:r>
              <w:rPr>
                <w:rFonts w:ascii="Times New Roman" w:hAnsi="Times New Roman" w:eastAsia="宋体"/>
                <w:szCs w:val="21"/>
              </w:rPr>
              <w:t>251-001-08</w:t>
            </w:r>
            <w:r>
              <w:rPr>
                <w:rFonts w:hint="eastAsia" w:ascii="Times New Roman" w:hAnsi="Times New Roman" w:eastAsia="宋体"/>
                <w:szCs w:val="21"/>
              </w:rPr>
              <w:t>和</w:t>
            </w:r>
            <w:r>
              <w:rPr>
                <w:rFonts w:ascii="Times New Roman" w:hAnsi="Times New Roman" w:eastAsia="宋体"/>
                <w:szCs w:val="21"/>
              </w:rPr>
              <w:t>251-005-08</w:t>
            </w:r>
            <w:r>
              <w:rPr>
                <w:rFonts w:hint="eastAsia" w:ascii="Times New Roman" w:hAnsi="Times New Roman" w:eastAsia="宋体" w:cs="Times New Roman"/>
                <w:szCs w:val="21"/>
              </w:rPr>
              <w:t>两个类别，辅料中去掉</w:t>
            </w:r>
            <w:r>
              <w:rPr>
                <w:rFonts w:hint="eastAsia" w:ascii="Times New Roman" w:hAnsi="Times New Roman" w:eastAsia="宋体"/>
                <w:szCs w:val="21"/>
              </w:rPr>
              <w:t>糠醛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7</w:t>
            </w:r>
          </w:p>
        </w:tc>
        <w:tc>
          <w:tcPr>
            <w:tcW w:w="1134" w:type="dxa"/>
            <w:gridSpan w:val="2"/>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资源能源</w:t>
            </w:r>
          </w:p>
        </w:tc>
        <w:tc>
          <w:tcPr>
            <w:tcW w:w="2695"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水、</w:t>
            </w:r>
            <w:r>
              <w:rPr>
                <w:rFonts w:ascii="Times New Roman" w:hAnsi="Times New Roman" w:eastAsia="宋体"/>
                <w:szCs w:val="21"/>
              </w:rPr>
              <w:t>电</w:t>
            </w:r>
            <w:r>
              <w:rPr>
                <w:rFonts w:hint="eastAsia" w:ascii="Times New Roman" w:hAnsi="Times New Roman" w:eastAsia="宋体"/>
                <w:szCs w:val="21"/>
              </w:rPr>
              <w:t>、</w:t>
            </w:r>
            <w:r>
              <w:rPr>
                <w:rFonts w:ascii="Times New Roman" w:hAnsi="Times New Roman" w:eastAsia="宋体"/>
                <w:szCs w:val="21"/>
              </w:rPr>
              <w:t>天然气</w:t>
            </w:r>
            <w:r>
              <w:rPr>
                <w:rFonts w:hint="eastAsia" w:ascii="Times New Roman" w:hAnsi="Times New Roman" w:eastAsia="宋体"/>
                <w:szCs w:val="21"/>
              </w:rPr>
              <w:t>、</w:t>
            </w:r>
            <w:r>
              <w:rPr>
                <w:rFonts w:ascii="Times New Roman" w:hAnsi="Times New Roman" w:eastAsia="宋体"/>
                <w:szCs w:val="21"/>
              </w:rPr>
              <w:t>氮气</w:t>
            </w:r>
            <w:r>
              <w:rPr>
                <w:rFonts w:hint="eastAsia" w:ascii="Times New Roman" w:hAnsi="Times New Roman" w:eastAsia="宋体"/>
                <w:szCs w:val="21"/>
              </w:rPr>
              <w:t>、</w:t>
            </w:r>
            <w:r>
              <w:rPr>
                <w:rFonts w:ascii="Times New Roman" w:hAnsi="Times New Roman" w:eastAsia="宋体"/>
                <w:szCs w:val="21"/>
              </w:rPr>
              <w:t>熔盐</w:t>
            </w:r>
            <w:r>
              <w:rPr>
                <w:rFonts w:hint="eastAsia" w:ascii="Times New Roman" w:hAnsi="Times New Roman" w:eastAsia="宋体"/>
                <w:szCs w:val="21"/>
              </w:rPr>
              <w:t>（亚硝酸钠、</w:t>
            </w:r>
            <w:r>
              <w:rPr>
                <w:rFonts w:ascii="Times New Roman" w:hAnsi="Times New Roman" w:eastAsia="宋体"/>
                <w:szCs w:val="21"/>
              </w:rPr>
              <w:t>硝酸钠</w:t>
            </w:r>
            <w:r>
              <w:rPr>
                <w:rFonts w:hint="eastAsia" w:ascii="Times New Roman" w:hAnsi="Times New Roman" w:eastAsia="宋体"/>
                <w:szCs w:val="21"/>
              </w:rPr>
              <w:t>、</w:t>
            </w:r>
            <w:r>
              <w:rPr>
                <w:rFonts w:ascii="Times New Roman" w:hAnsi="Times New Roman" w:eastAsia="宋体"/>
                <w:szCs w:val="21"/>
              </w:rPr>
              <w:t>硝酸钾）</w:t>
            </w:r>
          </w:p>
        </w:tc>
        <w:tc>
          <w:tcPr>
            <w:tcW w:w="2696"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水、</w:t>
            </w:r>
            <w:r>
              <w:rPr>
                <w:rFonts w:ascii="Times New Roman" w:hAnsi="Times New Roman" w:eastAsia="宋体"/>
                <w:szCs w:val="21"/>
              </w:rPr>
              <w:t>电</w:t>
            </w:r>
            <w:r>
              <w:rPr>
                <w:rFonts w:hint="eastAsia" w:ascii="Times New Roman" w:hAnsi="Times New Roman" w:eastAsia="宋体"/>
                <w:szCs w:val="21"/>
              </w:rPr>
              <w:t>、</w:t>
            </w:r>
            <w:r>
              <w:rPr>
                <w:rFonts w:ascii="Times New Roman" w:hAnsi="Times New Roman" w:eastAsia="宋体"/>
                <w:szCs w:val="21"/>
              </w:rPr>
              <w:t>天然气</w:t>
            </w:r>
            <w:r>
              <w:rPr>
                <w:rFonts w:hint="eastAsia" w:ascii="Times New Roman" w:hAnsi="Times New Roman" w:eastAsia="宋体"/>
                <w:szCs w:val="21"/>
              </w:rPr>
              <w:t>、</w:t>
            </w:r>
            <w:r>
              <w:rPr>
                <w:rFonts w:ascii="Times New Roman" w:hAnsi="Times New Roman" w:eastAsia="宋体"/>
                <w:szCs w:val="21"/>
              </w:rPr>
              <w:t>氮气</w:t>
            </w:r>
            <w:r>
              <w:rPr>
                <w:rFonts w:hint="eastAsia" w:ascii="Times New Roman" w:hAnsi="Times New Roman" w:eastAsia="宋体"/>
                <w:szCs w:val="21"/>
              </w:rPr>
              <w:t>、导热油</w:t>
            </w:r>
          </w:p>
        </w:tc>
        <w:tc>
          <w:tcPr>
            <w:tcW w:w="1067"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导热介质发生变化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vMerge w:val="restart"/>
            <w:vAlign w:val="center"/>
          </w:tcPr>
          <w:p>
            <w:pPr>
              <w:widowControl/>
              <w:spacing w:line="240" w:lineRule="exact"/>
              <w:jc w:val="center"/>
              <w:rPr>
                <w:rFonts w:ascii="Times New Roman" w:hAnsi="Times New Roman" w:eastAsia="宋体"/>
                <w:szCs w:val="21"/>
              </w:rPr>
            </w:pPr>
            <w:r>
              <w:rPr>
                <w:rFonts w:ascii="Times New Roman" w:hAnsi="Times New Roman" w:eastAsia="宋体"/>
                <w:szCs w:val="21"/>
              </w:rPr>
              <w:t>8</w:t>
            </w:r>
          </w:p>
        </w:tc>
        <w:tc>
          <w:tcPr>
            <w:tcW w:w="426" w:type="dxa"/>
            <w:vMerge w:val="restart"/>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生产工艺</w:t>
            </w:r>
          </w:p>
        </w:tc>
        <w:tc>
          <w:tcPr>
            <w:tcW w:w="708"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预处理单元</w:t>
            </w:r>
          </w:p>
        </w:tc>
        <w:tc>
          <w:tcPr>
            <w:tcW w:w="2695"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脱固脱水、脱油泥、薄膜蒸发及轻重烃分离</w:t>
            </w:r>
          </w:p>
        </w:tc>
        <w:tc>
          <w:tcPr>
            <w:tcW w:w="2696"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脱固脱水及轻重烃分离</w:t>
            </w:r>
          </w:p>
        </w:tc>
        <w:tc>
          <w:tcPr>
            <w:tcW w:w="1067"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去掉脱油泥、薄膜蒸发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vMerge w:val="continue"/>
            <w:vAlign w:val="center"/>
          </w:tcPr>
          <w:p>
            <w:pPr>
              <w:widowControl/>
              <w:spacing w:line="240" w:lineRule="exact"/>
              <w:jc w:val="center"/>
              <w:rPr>
                <w:rFonts w:ascii="Times New Roman" w:hAnsi="Times New Roman" w:eastAsia="宋体"/>
                <w:szCs w:val="21"/>
              </w:rPr>
            </w:pPr>
          </w:p>
        </w:tc>
        <w:tc>
          <w:tcPr>
            <w:tcW w:w="426" w:type="dxa"/>
            <w:vMerge w:val="continue"/>
            <w:vAlign w:val="center"/>
          </w:tcPr>
          <w:p>
            <w:pPr>
              <w:widowControl/>
              <w:spacing w:line="240" w:lineRule="exact"/>
              <w:jc w:val="center"/>
              <w:rPr>
                <w:rFonts w:ascii="Times New Roman" w:hAnsi="Times New Roman" w:eastAsia="宋体"/>
                <w:szCs w:val="21"/>
              </w:rPr>
            </w:pPr>
          </w:p>
        </w:tc>
        <w:tc>
          <w:tcPr>
            <w:tcW w:w="708" w:type="dxa"/>
            <w:vAlign w:val="center"/>
          </w:tcPr>
          <w:p>
            <w:pPr>
              <w:widowControl/>
              <w:spacing w:line="240" w:lineRule="exact"/>
              <w:jc w:val="center"/>
              <w:rPr>
                <w:rFonts w:ascii="Times New Roman" w:hAnsi="Times New Roman" w:eastAsia="宋体"/>
                <w:szCs w:val="21"/>
              </w:rPr>
            </w:pPr>
            <w:r>
              <w:rPr>
                <w:rFonts w:ascii="Times New Roman" w:hAnsi="Times New Roman" w:eastAsia="宋体"/>
                <w:szCs w:val="21"/>
              </w:rPr>
              <w:t>精制</w:t>
            </w:r>
            <w:r>
              <w:rPr>
                <w:rFonts w:hint="eastAsia" w:ascii="Times New Roman" w:hAnsi="Times New Roman" w:eastAsia="宋体"/>
                <w:szCs w:val="21"/>
              </w:rPr>
              <w:t>单元</w:t>
            </w:r>
          </w:p>
        </w:tc>
        <w:tc>
          <w:tcPr>
            <w:tcW w:w="2695"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丙烷脱沥青、糠醛精制、分子筛吸附</w:t>
            </w:r>
          </w:p>
        </w:tc>
        <w:tc>
          <w:tcPr>
            <w:tcW w:w="2696"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丙烷脱沥青、分子筛吸附</w:t>
            </w:r>
          </w:p>
        </w:tc>
        <w:tc>
          <w:tcPr>
            <w:tcW w:w="1067"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去掉糠醛精制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vMerge w:val="continue"/>
            <w:vAlign w:val="center"/>
          </w:tcPr>
          <w:p>
            <w:pPr>
              <w:widowControl/>
              <w:spacing w:line="240" w:lineRule="exact"/>
              <w:jc w:val="center"/>
              <w:rPr>
                <w:rFonts w:ascii="Times New Roman" w:hAnsi="Times New Roman" w:eastAsia="宋体"/>
                <w:szCs w:val="21"/>
              </w:rPr>
            </w:pPr>
          </w:p>
        </w:tc>
        <w:tc>
          <w:tcPr>
            <w:tcW w:w="426" w:type="dxa"/>
            <w:vMerge w:val="continue"/>
            <w:vAlign w:val="center"/>
          </w:tcPr>
          <w:p>
            <w:pPr>
              <w:widowControl/>
              <w:spacing w:line="240" w:lineRule="exact"/>
              <w:jc w:val="center"/>
              <w:rPr>
                <w:rFonts w:ascii="Times New Roman" w:hAnsi="Times New Roman" w:eastAsia="宋体"/>
                <w:szCs w:val="21"/>
              </w:rPr>
            </w:pPr>
          </w:p>
        </w:tc>
        <w:tc>
          <w:tcPr>
            <w:tcW w:w="708"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精馏单元</w:t>
            </w:r>
          </w:p>
        </w:tc>
        <w:tc>
          <w:tcPr>
            <w:tcW w:w="2695"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减压蒸馏</w:t>
            </w:r>
          </w:p>
        </w:tc>
        <w:tc>
          <w:tcPr>
            <w:tcW w:w="2696"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减压蒸馏</w:t>
            </w:r>
          </w:p>
        </w:tc>
        <w:tc>
          <w:tcPr>
            <w:tcW w:w="1067"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vAlign w:val="center"/>
          </w:tcPr>
          <w:p>
            <w:pPr>
              <w:widowControl/>
              <w:spacing w:line="240" w:lineRule="exact"/>
              <w:jc w:val="center"/>
              <w:rPr>
                <w:rFonts w:ascii="Times New Roman" w:hAnsi="Times New Roman" w:eastAsia="宋体"/>
                <w:szCs w:val="21"/>
              </w:rPr>
            </w:pPr>
            <w:r>
              <w:rPr>
                <w:rFonts w:ascii="Times New Roman" w:hAnsi="Times New Roman" w:eastAsia="宋体"/>
                <w:szCs w:val="21"/>
              </w:rPr>
              <w:t>9</w:t>
            </w:r>
          </w:p>
        </w:tc>
        <w:tc>
          <w:tcPr>
            <w:tcW w:w="1134" w:type="dxa"/>
            <w:gridSpan w:val="2"/>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产品方案</w:t>
            </w:r>
          </w:p>
        </w:tc>
        <w:tc>
          <w:tcPr>
            <w:tcW w:w="2695"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主</w:t>
            </w:r>
            <w:r>
              <w:rPr>
                <w:rFonts w:ascii="Times New Roman" w:hAnsi="Times New Roman" w:eastAsia="宋体"/>
                <w:szCs w:val="21"/>
              </w:rPr>
              <w:t>产品为基础油，副产品为</w:t>
            </w:r>
            <w:r>
              <w:rPr>
                <w:rFonts w:hint="eastAsia" w:ascii="Times New Roman" w:hAnsi="Times New Roman" w:eastAsia="宋体"/>
                <w:szCs w:val="21"/>
              </w:rPr>
              <w:t>汽油</w:t>
            </w:r>
            <w:r>
              <w:rPr>
                <w:rFonts w:ascii="Times New Roman" w:hAnsi="Times New Roman" w:eastAsia="宋体"/>
                <w:szCs w:val="21"/>
              </w:rPr>
              <w:t>、</w:t>
            </w:r>
            <w:r>
              <w:rPr>
                <w:rFonts w:hint="eastAsia" w:ascii="Times New Roman" w:hAnsi="Times New Roman" w:eastAsia="宋体"/>
                <w:szCs w:val="21"/>
              </w:rPr>
              <w:t>燃料油、</w:t>
            </w:r>
            <w:r>
              <w:rPr>
                <w:rFonts w:ascii="Times New Roman" w:hAnsi="Times New Roman" w:eastAsia="宋体"/>
                <w:szCs w:val="21"/>
              </w:rPr>
              <w:t>柴油</w:t>
            </w:r>
            <w:r>
              <w:rPr>
                <w:rFonts w:hint="eastAsia" w:ascii="Times New Roman" w:hAnsi="Times New Roman" w:eastAsia="宋体"/>
                <w:szCs w:val="21"/>
              </w:rPr>
              <w:t>和</w:t>
            </w:r>
            <w:r>
              <w:rPr>
                <w:rFonts w:ascii="Times New Roman" w:hAnsi="Times New Roman" w:eastAsia="宋体"/>
                <w:szCs w:val="21"/>
              </w:rPr>
              <w:t>沥青等</w:t>
            </w:r>
          </w:p>
        </w:tc>
        <w:tc>
          <w:tcPr>
            <w:tcW w:w="2696"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主</w:t>
            </w:r>
            <w:r>
              <w:rPr>
                <w:rFonts w:ascii="Times New Roman" w:hAnsi="Times New Roman" w:eastAsia="宋体"/>
                <w:szCs w:val="21"/>
              </w:rPr>
              <w:t>产品为基础油，副产品为</w:t>
            </w:r>
            <w:r>
              <w:rPr>
                <w:rFonts w:hint="eastAsia" w:ascii="Times New Roman" w:hAnsi="Times New Roman" w:eastAsia="宋体"/>
                <w:szCs w:val="21"/>
              </w:rPr>
              <w:t>汽油</w:t>
            </w:r>
            <w:r>
              <w:rPr>
                <w:rFonts w:ascii="Times New Roman" w:hAnsi="Times New Roman" w:eastAsia="宋体"/>
                <w:szCs w:val="21"/>
              </w:rPr>
              <w:t>、</w:t>
            </w:r>
            <w:r>
              <w:rPr>
                <w:rFonts w:hint="eastAsia" w:ascii="Times New Roman" w:hAnsi="Times New Roman" w:eastAsia="宋体"/>
                <w:szCs w:val="21"/>
              </w:rPr>
              <w:t>燃料油、</w:t>
            </w:r>
            <w:r>
              <w:rPr>
                <w:rFonts w:ascii="Times New Roman" w:hAnsi="Times New Roman" w:eastAsia="宋体"/>
                <w:szCs w:val="21"/>
              </w:rPr>
              <w:t>柴油</w:t>
            </w:r>
            <w:r>
              <w:rPr>
                <w:rFonts w:hint="eastAsia" w:ascii="Times New Roman" w:hAnsi="Times New Roman" w:eastAsia="宋体"/>
                <w:szCs w:val="21"/>
              </w:rPr>
              <w:t>和</w:t>
            </w:r>
            <w:r>
              <w:rPr>
                <w:rFonts w:ascii="Times New Roman" w:hAnsi="Times New Roman" w:eastAsia="宋体"/>
                <w:szCs w:val="21"/>
              </w:rPr>
              <w:t>沥青等</w:t>
            </w:r>
          </w:p>
        </w:tc>
        <w:tc>
          <w:tcPr>
            <w:tcW w:w="1067"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vAlign w:val="center"/>
          </w:tcPr>
          <w:p>
            <w:pPr>
              <w:widowControl/>
              <w:spacing w:line="240" w:lineRule="exact"/>
              <w:jc w:val="center"/>
              <w:rPr>
                <w:rFonts w:ascii="Times New Roman" w:hAnsi="Times New Roman" w:eastAsia="宋体"/>
                <w:szCs w:val="21"/>
              </w:rPr>
            </w:pPr>
            <w:r>
              <w:rPr>
                <w:rFonts w:ascii="Times New Roman" w:hAnsi="Times New Roman" w:eastAsia="宋体"/>
                <w:szCs w:val="21"/>
              </w:rPr>
              <w:t>10</w:t>
            </w:r>
          </w:p>
        </w:tc>
        <w:tc>
          <w:tcPr>
            <w:tcW w:w="1134" w:type="dxa"/>
            <w:gridSpan w:val="2"/>
            <w:vAlign w:val="center"/>
          </w:tcPr>
          <w:p>
            <w:pPr>
              <w:widowControl/>
              <w:spacing w:line="240" w:lineRule="exact"/>
              <w:jc w:val="center"/>
              <w:rPr>
                <w:rFonts w:ascii="Times New Roman" w:hAnsi="Times New Roman" w:eastAsia="宋体"/>
                <w:szCs w:val="21"/>
              </w:rPr>
            </w:pPr>
            <w:r>
              <w:rPr>
                <w:rFonts w:ascii="Times New Roman" w:hAnsi="Times New Roman" w:eastAsia="宋体"/>
                <w:szCs w:val="21"/>
              </w:rPr>
              <w:t>工作制度</w:t>
            </w:r>
          </w:p>
        </w:tc>
        <w:tc>
          <w:tcPr>
            <w:tcW w:w="2695" w:type="dxa"/>
            <w:vAlign w:val="center"/>
          </w:tcPr>
          <w:p>
            <w:pPr>
              <w:widowControl/>
              <w:spacing w:line="240" w:lineRule="exact"/>
              <w:jc w:val="center"/>
              <w:rPr>
                <w:rFonts w:ascii="Times New Roman" w:hAnsi="Times New Roman" w:eastAsia="宋体"/>
                <w:szCs w:val="21"/>
              </w:rPr>
            </w:pPr>
            <w:r>
              <w:rPr>
                <w:rFonts w:ascii="Times New Roman" w:hAnsi="Times New Roman" w:eastAsia="宋体"/>
                <w:szCs w:val="21"/>
              </w:rPr>
              <w:t>三班制，每班工作时间8小时，年工作日</w:t>
            </w:r>
            <w:r>
              <w:rPr>
                <w:rFonts w:hint="eastAsia" w:ascii="Times New Roman" w:hAnsi="Times New Roman" w:eastAsia="宋体"/>
                <w:szCs w:val="21"/>
              </w:rPr>
              <w:t>不少于</w:t>
            </w:r>
            <w:r>
              <w:rPr>
                <w:rFonts w:ascii="Times New Roman" w:hAnsi="Times New Roman" w:eastAsia="宋体"/>
                <w:szCs w:val="21"/>
              </w:rPr>
              <w:t>330天，年工作小时</w:t>
            </w:r>
            <w:r>
              <w:rPr>
                <w:rFonts w:hint="eastAsia" w:ascii="Times New Roman" w:hAnsi="Times New Roman" w:eastAsia="宋体"/>
                <w:szCs w:val="21"/>
              </w:rPr>
              <w:t>不小于</w:t>
            </w:r>
            <w:r>
              <w:rPr>
                <w:rFonts w:ascii="Times New Roman" w:hAnsi="Times New Roman" w:eastAsia="宋体"/>
                <w:szCs w:val="21"/>
              </w:rPr>
              <w:t>8000h。</w:t>
            </w:r>
          </w:p>
        </w:tc>
        <w:tc>
          <w:tcPr>
            <w:tcW w:w="2696" w:type="dxa"/>
            <w:vAlign w:val="center"/>
          </w:tcPr>
          <w:p>
            <w:pPr>
              <w:widowControl/>
              <w:spacing w:line="240" w:lineRule="exact"/>
              <w:jc w:val="center"/>
              <w:rPr>
                <w:rFonts w:ascii="Times New Roman" w:hAnsi="Times New Roman" w:eastAsia="宋体"/>
                <w:szCs w:val="21"/>
              </w:rPr>
            </w:pPr>
            <w:r>
              <w:rPr>
                <w:rFonts w:ascii="Times New Roman" w:hAnsi="Times New Roman" w:eastAsia="宋体"/>
                <w:szCs w:val="21"/>
              </w:rPr>
              <w:t>三班制，每班工作时间8小时，年工作日</w:t>
            </w:r>
            <w:r>
              <w:rPr>
                <w:rFonts w:hint="eastAsia" w:ascii="Times New Roman" w:hAnsi="Times New Roman" w:eastAsia="宋体"/>
                <w:szCs w:val="21"/>
              </w:rPr>
              <w:t>不少于</w:t>
            </w:r>
            <w:r>
              <w:rPr>
                <w:rFonts w:ascii="Times New Roman" w:hAnsi="Times New Roman" w:eastAsia="宋体"/>
                <w:szCs w:val="21"/>
              </w:rPr>
              <w:t>330天，年工作小时</w:t>
            </w:r>
            <w:r>
              <w:rPr>
                <w:rFonts w:hint="eastAsia" w:ascii="Times New Roman" w:hAnsi="Times New Roman" w:eastAsia="宋体"/>
                <w:szCs w:val="21"/>
              </w:rPr>
              <w:t>不小于</w:t>
            </w:r>
            <w:r>
              <w:rPr>
                <w:rFonts w:ascii="Times New Roman" w:hAnsi="Times New Roman" w:eastAsia="宋体"/>
                <w:szCs w:val="21"/>
              </w:rPr>
              <w:t>8000h。</w:t>
            </w:r>
          </w:p>
        </w:tc>
        <w:tc>
          <w:tcPr>
            <w:tcW w:w="1067"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4"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1</w:t>
            </w:r>
          </w:p>
        </w:tc>
        <w:tc>
          <w:tcPr>
            <w:tcW w:w="1134" w:type="dxa"/>
            <w:gridSpan w:val="2"/>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劳动定员</w:t>
            </w:r>
          </w:p>
        </w:tc>
        <w:tc>
          <w:tcPr>
            <w:tcW w:w="2695" w:type="dxa"/>
            <w:vAlign w:val="center"/>
          </w:tcPr>
          <w:p>
            <w:pPr>
              <w:widowControl/>
              <w:spacing w:line="240" w:lineRule="exact"/>
              <w:jc w:val="center"/>
              <w:rPr>
                <w:rFonts w:ascii="Times New Roman" w:hAnsi="Times New Roman" w:eastAsia="宋体"/>
                <w:szCs w:val="21"/>
              </w:rPr>
            </w:pPr>
            <w:r>
              <w:rPr>
                <w:rFonts w:ascii="Times New Roman" w:hAnsi="Times New Roman" w:eastAsia="宋体"/>
                <w:szCs w:val="21"/>
              </w:rPr>
              <w:t>定员人数为</w:t>
            </w:r>
            <w:r>
              <w:rPr>
                <w:rFonts w:hint="eastAsia" w:ascii="Times New Roman" w:hAnsi="Times New Roman" w:eastAsia="宋体"/>
                <w:szCs w:val="21"/>
              </w:rPr>
              <w:t>80</w:t>
            </w:r>
            <w:r>
              <w:rPr>
                <w:rFonts w:ascii="Times New Roman" w:hAnsi="Times New Roman" w:eastAsia="宋体"/>
                <w:szCs w:val="21"/>
              </w:rPr>
              <w:t>人</w:t>
            </w:r>
          </w:p>
        </w:tc>
        <w:tc>
          <w:tcPr>
            <w:tcW w:w="2696" w:type="dxa"/>
            <w:vAlign w:val="center"/>
          </w:tcPr>
          <w:p>
            <w:pPr>
              <w:widowControl/>
              <w:spacing w:line="240" w:lineRule="exact"/>
              <w:jc w:val="center"/>
              <w:rPr>
                <w:rFonts w:ascii="Times New Roman" w:hAnsi="Times New Roman" w:eastAsia="宋体"/>
                <w:szCs w:val="21"/>
              </w:rPr>
            </w:pPr>
            <w:r>
              <w:rPr>
                <w:rFonts w:ascii="Times New Roman" w:hAnsi="Times New Roman" w:eastAsia="宋体"/>
                <w:szCs w:val="21"/>
              </w:rPr>
              <w:t>定员人数为</w:t>
            </w:r>
            <w:r>
              <w:rPr>
                <w:rFonts w:hint="eastAsia" w:ascii="Times New Roman" w:hAnsi="Times New Roman" w:eastAsia="宋体"/>
                <w:szCs w:val="21"/>
              </w:rPr>
              <w:t>80</w:t>
            </w:r>
            <w:r>
              <w:rPr>
                <w:rFonts w:ascii="Times New Roman" w:hAnsi="Times New Roman" w:eastAsia="宋体"/>
                <w:szCs w:val="21"/>
              </w:rPr>
              <w:t>人</w:t>
            </w:r>
          </w:p>
        </w:tc>
        <w:tc>
          <w:tcPr>
            <w:tcW w:w="1067" w:type="dxa"/>
            <w:vAlign w:val="center"/>
          </w:tcPr>
          <w:p>
            <w:pPr>
              <w:widowControl/>
              <w:spacing w:line="240" w:lineRule="exact"/>
              <w:jc w:val="center"/>
              <w:rPr>
                <w:rFonts w:ascii="Times New Roman" w:hAnsi="Times New Roman" w:eastAsia="宋体"/>
                <w:szCs w:val="21"/>
              </w:rPr>
            </w:pPr>
            <w:r>
              <w:rPr>
                <w:rFonts w:hint="eastAsia" w:ascii="Times New Roman" w:hAnsi="Times New Roman" w:eastAsia="宋体"/>
                <w:szCs w:val="21"/>
              </w:rPr>
              <w:t>不变</w:t>
            </w:r>
          </w:p>
        </w:tc>
      </w:tr>
      <w:bookmarkEnd w:id="28"/>
    </w:tbl>
    <w:p>
      <w:pPr>
        <w:spacing w:line="480" w:lineRule="exact"/>
        <w:ind w:firstLine="480" w:firstLineChars="200"/>
        <w:rPr>
          <w:rFonts w:ascii="Times New Roman" w:hAnsi="Times New Roman" w:eastAsia="黑体" w:cs="Times New Roman"/>
          <w:sz w:val="24"/>
        </w:rPr>
      </w:pP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本项目主要建设内容</w:t>
      </w:r>
      <w:r>
        <w:rPr>
          <w:rFonts w:ascii="Times New Roman" w:hAnsi="Times New Roman" w:eastAsia="宋体" w:cs="Times New Roman"/>
          <w:sz w:val="24"/>
          <w:szCs w:val="24"/>
        </w:rPr>
        <w:t>包括：主体工程、储运工程、公用工程、环保工程以及辅助生产设施等</w:t>
      </w:r>
      <w:r>
        <w:rPr>
          <w:rFonts w:hint="eastAsia" w:ascii="Times New Roman" w:hAnsi="Times New Roman" w:eastAsia="宋体" w:cs="Times New Roman"/>
          <w:sz w:val="24"/>
          <w:szCs w:val="24"/>
        </w:rPr>
        <w:t>，具体变化内容</w:t>
      </w:r>
      <w:r>
        <w:rPr>
          <w:rFonts w:ascii="Times New Roman" w:hAnsi="Times New Roman" w:eastAsia="宋体" w:cs="Times New Roman"/>
          <w:sz w:val="24"/>
          <w:szCs w:val="24"/>
        </w:rPr>
        <w:t>见表3.1-2。</w:t>
      </w:r>
    </w:p>
    <w:p>
      <w:pPr>
        <w:spacing w:line="480" w:lineRule="exact"/>
        <w:ind w:firstLine="480" w:firstLineChars="200"/>
        <w:rPr>
          <w:rFonts w:ascii="Times New Roman" w:hAnsi="Times New Roman" w:eastAsia="黑体" w:cs="Times New Roman"/>
          <w:sz w:val="24"/>
        </w:rPr>
      </w:pPr>
      <w:r>
        <w:rPr>
          <w:rFonts w:ascii="Times New Roman" w:hAnsi="Times New Roman" w:eastAsia="黑体" w:cs="Times New Roman"/>
          <w:sz w:val="24"/>
        </w:rPr>
        <w:t>表3.1-2      本项目</w:t>
      </w:r>
      <w:r>
        <w:rPr>
          <w:rFonts w:hint="eastAsia" w:ascii="Times New Roman" w:hAnsi="Times New Roman" w:eastAsia="黑体" w:cs="Times New Roman"/>
          <w:sz w:val="24"/>
        </w:rPr>
        <w:t>变更前后主要</w:t>
      </w:r>
      <w:r>
        <w:rPr>
          <w:rFonts w:ascii="Times New Roman" w:hAnsi="Times New Roman" w:eastAsia="黑体" w:cs="Times New Roman"/>
          <w:sz w:val="24"/>
        </w:rPr>
        <w:t>建设</w:t>
      </w:r>
      <w:r>
        <w:rPr>
          <w:rFonts w:hint="eastAsia" w:ascii="Times New Roman" w:hAnsi="Times New Roman" w:eastAsia="黑体" w:cs="Times New Roman"/>
          <w:sz w:val="24"/>
        </w:rPr>
        <w:t>内容变化情况</w:t>
      </w:r>
      <w:r>
        <w:rPr>
          <w:rFonts w:ascii="Times New Roman" w:hAnsi="Times New Roman" w:eastAsia="黑体" w:cs="Times New Roman"/>
          <w:sz w:val="24"/>
        </w:rPr>
        <w:t>一览表</w:t>
      </w:r>
    </w:p>
    <w:tbl>
      <w:tblPr>
        <w:tblStyle w:val="19"/>
        <w:tblW w:w="921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643"/>
        <w:gridCol w:w="1469"/>
        <w:gridCol w:w="2551"/>
        <w:gridCol w:w="2722"/>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807" w:type="dxa"/>
            <w:gridSpan w:val="3"/>
            <w:vAlign w:val="center"/>
          </w:tcPr>
          <w:p>
            <w:pPr>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工程组成</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变更前</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变更后</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7" w:type="dxa"/>
            <w:gridSpan w:val="3"/>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主体工程</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原料预处理单元、溶剂精制单元和</w:t>
            </w:r>
            <w:r>
              <w:rPr>
                <w:rFonts w:hint="eastAsia" w:ascii="Times New Roman" w:hAnsi="Times New Roman" w:eastAsia="宋体" w:cs="Times New Roman"/>
                <w:kern w:val="0"/>
                <w:szCs w:val="21"/>
              </w:rPr>
              <w:t>精馏</w:t>
            </w:r>
            <w:r>
              <w:rPr>
                <w:rFonts w:ascii="Times New Roman" w:hAnsi="Times New Roman" w:eastAsia="宋体" w:cs="Times New Roman"/>
                <w:kern w:val="0"/>
                <w:szCs w:val="21"/>
              </w:rPr>
              <w:t>单元等，共一条生产线，位于项目厂址的西侧中间。</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原料预处理单元、溶剂精制单元和</w:t>
            </w:r>
            <w:r>
              <w:rPr>
                <w:rFonts w:hint="eastAsia" w:ascii="Times New Roman" w:hAnsi="Times New Roman" w:eastAsia="宋体" w:cs="Times New Roman"/>
                <w:kern w:val="0"/>
                <w:szCs w:val="21"/>
              </w:rPr>
              <w:t>精馏</w:t>
            </w:r>
            <w:r>
              <w:rPr>
                <w:rFonts w:ascii="Times New Roman" w:hAnsi="Times New Roman" w:eastAsia="宋体" w:cs="Times New Roman"/>
                <w:kern w:val="0"/>
                <w:szCs w:val="21"/>
              </w:rPr>
              <w:t>单元等，共一条生产线，位于项目厂址的西侧中间。</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restart"/>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储运工程</w:t>
            </w:r>
          </w:p>
        </w:tc>
        <w:tc>
          <w:tcPr>
            <w:tcW w:w="2112" w:type="dxa"/>
            <w:gridSpan w:val="2"/>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原料罐组</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szCs w:val="21"/>
              </w:rPr>
              <w:t>12×1000m</w:t>
            </w:r>
            <w:r>
              <w:rPr>
                <w:rFonts w:ascii="Times New Roman" w:hAnsi="Times New Roman" w:eastAsia="宋体" w:cs="Times New Roman"/>
                <w:szCs w:val="21"/>
                <w:vertAlign w:val="superscript"/>
              </w:rPr>
              <w:t>3</w:t>
            </w:r>
            <w:r>
              <w:rPr>
                <w:rFonts w:ascii="Times New Roman" w:hAnsi="Times New Roman" w:eastAsia="宋体" w:cs="Times New Roman"/>
                <w:kern w:val="0"/>
                <w:szCs w:val="21"/>
              </w:rPr>
              <w:t>固定顶罐</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szCs w:val="21"/>
              </w:rPr>
              <w:t>12×1000m</w:t>
            </w:r>
            <w:r>
              <w:rPr>
                <w:rFonts w:ascii="Times New Roman" w:hAnsi="Times New Roman" w:eastAsia="宋体" w:cs="Times New Roman"/>
                <w:szCs w:val="21"/>
                <w:vertAlign w:val="superscript"/>
              </w:rPr>
              <w:t>3</w:t>
            </w:r>
            <w:r>
              <w:rPr>
                <w:rFonts w:ascii="Times New Roman" w:hAnsi="Times New Roman" w:eastAsia="宋体" w:cs="Times New Roman"/>
                <w:kern w:val="0"/>
                <w:szCs w:val="21"/>
              </w:rPr>
              <w:t>固定顶罐</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2112" w:type="dxa"/>
            <w:gridSpan w:val="2"/>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产品罐组</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szCs w:val="21"/>
              </w:rPr>
              <w:t>12×1000m</w:t>
            </w:r>
            <w:r>
              <w:rPr>
                <w:rFonts w:ascii="Times New Roman" w:hAnsi="Times New Roman" w:eastAsia="宋体" w:cs="Times New Roman"/>
                <w:szCs w:val="21"/>
                <w:vertAlign w:val="superscript"/>
              </w:rPr>
              <w:t>3</w:t>
            </w:r>
            <w:r>
              <w:rPr>
                <w:rFonts w:ascii="Times New Roman" w:hAnsi="Times New Roman" w:eastAsia="宋体" w:cs="Times New Roman"/>
                <w:kern w:val="0"/>
                <w:szCs w:val="21"/>
              </w:rPr>
              <w:t>固定顶罐、</w:t>
            </w:r>
            <w:r>
              <w:rPr>
                <w:rFonts w:ascii="Times New Roman" w:hAnsi="Times New Roman" w:eastAsia="宋体" w:cs="Times New Roman"/>
                <w:szCs w:val="21"/>
              </w:rPr>
              <w:t>4×300m</w:t>
            </w:r>
            <w:r>
              <w:rPr>
                <w:rFonts w:ascii="Times New Roman" w:hAnsi="Times New Roman" w:eastAsia="宋体" w:cs="Times New Roman"/>
                <w:szCs w:val="21"/>
                <w:vertAlign w:val="superscript"/>
              </w:rPr>
              <w:t>3</w:t>
            </w:r>
            <w:r>
              <w:rPr>
                <w:rFonts w:ascii="Times New Roman" w:hAnsi="Times New Roman" w:eastAsia="宋体" w:cs="Times New Roman"/>
                <w:kern w:val="0"/>
                <w:szCs w:val="21"/>
              </w:rPr>
              <w:t>内浮顶罐</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szCs w:val="21"/>
              </w:rPr>
              <w:t>12×1000m</w:t>
            </w:r>
            <w:r>
              <w:rPr>
                <w:rFonts w:ascii="Times New Roman" w:hAnsi="Times New Roman" w:eastAsia="宋体" w:cs="Times New Roman"/>
                <w:szCs w:val="21"/>
                <w:vertAlign w:val="superscript"/>
              </w:rPr>
              <w:t>3</w:t>
            </w:r>
            <w:r>
              <w:rPr>
                <w:rFonts w:ascii="Times New Roman" w:hAnsi="Times New Roman" w:eastAsia="宋体" w:cs="Times New Roman"/>
                <w:kern w:val="0"/>
                <w:szCs w:val="21"/>
              </w:rPr>
              <w:t>固定顶罐、</w:t>
            </w:r>
            <w:r>
              <w:rPr>
                <w:rFonts w:ascii="Times New Roman" w:hAnsi="Times New Roman" w:eastAsia="宋体" w:cs="Times New Roman"/>
                <w:szCs w:val="21"/>
              </w:rPr>
              <w:t>4×300m</w:t>
            </w:r>
            <w:r>
              <w:rPr>
                <w:rFonts w:ascii="Times New Roman" w:hAnsi="Times New Roman" w:eastAsia="宋体" w:cs="Times New Roman"/>
                <w:szCs w:val="21"/>
                <w:vertAlign w:val="superscript"/>
              </w:rPr>
              <w:t>3</w:t>
            </w:r>
            <w:r>
              <w:rPr>
                <w:rFonts w:ascii="Times New Roman" w:hAnsi="Times New Roman" w:eastAsia="宋体" w:cs="Times New Roman"/>
                <w:kern w:val="0"/>
                <w:szCs w:val="21"/>
              </w:rPr>
              <w:t>内浮顶罐</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2112" w:type="dxa"/>
            <w:gridSpan w:val="2"/>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装卸车设施</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8座装卸车鹤管</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8座装卸车鹤管</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2112" w:type="dxa"/>
            <w:gridSpan w:val="2"/>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运输</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委托有危险货物运输资质的公司运输</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委托有危险货物运输资质的公司运输</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restart"/>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公用工程</w:t>
            </w:r>
          </w:p>
        </w:tc>
        <w:tc>
          <w:tcPr>
            <w:tcW w:w="2112" w:type="dxa"/>
            <w:gridSpan w:val="2"/>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供水、供电</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由产业集聚区提供</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由产业集聚区提供</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2112" w:type="dxa"/>
            <w:gridSpan w:val="2"/>
            <w:vAlign w:val="center"/>
          </w:tcPr>
          <w:p>
            <w:pPr>
              <w:widowControl/>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燃气供应</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由濮阳国热热力有限公司供给，通过管网输送至厂区</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由濮阳国热热力有限公司供给，通过管网输送至厂区</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2112" w:type="dxa"/>
            <w:gridSpan w:val="2"/>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循环水系统</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1000m</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/h循环水泵</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1000m</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/h循环水泵</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2112" w:type="dxa"/>
            <w:gridSpan w:val="2"/>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消防水罐</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消防水罐2个，每个容积 1000m</w:t>
            </w:r>
            <w:r>
              <w:rPr>
                <w:rFonts w:ascii="Times New Roman" w:hAnsi="Times New Roman" w:eastAsia="宋体" w:cs="Times New Roman"/>
                <w:kern w:val="0"/>
                <w:szCs w:val="21"/>
                <w:vertAlign w:val="superscript"/>
              </w:rPr>
              <w:t>3</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消防水罐2个，每个容积 1000m</w:t>
            </w:r>
            <w:r>
              <w:rPr>
                <w:rFonts w:ascii="Times New Roman" w:hAnsi="Times New Roman" w:eastAsia="宋体" w:cs="Times New Roman"/>
                <w:kern w:val="0"/>
                <w:szCs w:val="21"/>
                <w:vertAlign w:val="superscript"/>
              </w:rPr>
              <w:t>3</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2112" w:type="dxa"/>
            <w:gridSpan w:val="2"/>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供热</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1台9800kw熔盐炉</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台</w:t>
            </w:r>
            <w:r>
              <w:rPr>
                <w:rFonts w:hint="eastAsia" w:ascii="Times New Roman" w:hAnsi="Times New Roman" w:eastAsia="宋体"/>
                <w:kern w:val="0"/>
                <w:szCs w:val="21"/>
              </w:rPr>
              <w:t>9800kw导热油炉</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导热介质发生改变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2112" w:type="dxa"/>
            <w:gridSpan w:val="2"/>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压缩空气</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两台螺杆式空压机（一用一备）</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两台螺杆式空压机（一用一备）</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2112" w:type="dxa"/>
            <w:gridSpan w:val="2"/>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总变电所</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 层，540m</w:t>
            </w:r>
            <w:r>
              <w:rPr>
                <w:rFonts w:ascii="Times New Roman" w:hAnsi="Times New Roman" w:eastAsia="宋体" w:cs="Times New Roman"/>
                <w:kern w:val="0"/>
                <w:szCs w:val="21"/>
                <w:vertAlign w:val="superscript"/>
              </w:rPr>
              <w:t>2</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 层，540m</w:t>
            </w:r>
            <w:r>
              <w:rPr>
                <w:rFonts w:ascii="Times New Roman" w:hAnsi="Times New Roman" w:eastAsia="宋体" w:cs="Times New Roman"/>
                <w:kern w:val="0"/>
                <w:szCs w:val="21"/>
                <w:vertAlign w:val="superscript"/>
              </w:rPr>
              <w:t>2</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restart"/>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环保工程</w:t>
            </w:r>
          </w:p>
        </w:tc>
        <w:tc>
          <w:tcPr>
            <w:tcW w:w="643" w:type="dxa"/>
            <w:vMerge w:val="restart"/>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废气</w:t>
            </w:r>
          </w:p>
        </w:tc>
        <w:tc>
          <w:tcPr>
            <w:tcW w:w="1469"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减压炉废气</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900kW，28m高排气筒 内径0.6m</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900kW，28m高排气筒 内径0.6m</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643" w:type="dxa"/>
            <w:vMerge w:val="continue"/>
            <w:vAlign w:val="center"/>
          </w:tcPr>
          <w:p>
            <w:pPr>
              <w:widowControl/>
              <w:spacing w:line="240" w:lineRule="exact"/>
              <w:jc w:val="center"/>
              <w:rPr>
                <w:rFonts w:ascii="Times New Roman" w:hAnsi="Times New Roman" w:eastAsia="宋体" w:cs="Times New Roman"/>
                <w:kern w:val="0"/>
                <w:szCs w:val="21"/>
              </w:rPr>
            </w:pPr>
          </w:p>
        </w:tc>
        <w:tc>
          <w:tcPr>
            <w:tcW w:w="1469"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熔盐炉</w:t>
            </w:r>
            <w:r>
              <w:rPr>
                <w:rFonts w:hint="eastAsia" w:ascii="Times New Roman" w:hAnsi="Times New Roman" w:eastAsia="宋体" w:cs="Times New Roman"/>
                <w:kern w:val="0"/>
                <w:szCs w:val="21"/>
              </w:rPr>
              <w:t>/导热油炉</w:t>
            </w:r>
            <w:r>
              <w:rPr>
                <w:rFonts w:ascii="Times New Roman" w:hAnsi="Times New Roman" w:eastAsia="宋体" w:cs="Times New Roman"/>
                <w:kern w:val="0"/>
                <w:szCs w:val="21"/>
              </w:rPr>
              <w:t>废气</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9800kW，30m高排气筒 内径0.8m</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9800kW，30m高排气筒 内径0.8m</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643" w:type="dxa"/>
            <w:vMerge w:val="continue"/>
            <w:vAlign w:val="center"/>
          </w:tcPr>
          <w:p>
            <w:pPr>
              <w:widowControl/>
              <w:spacing w:line="240" w:lineRule="exact"/>
              <w:jc w:val="center"/>
              <w:rPr>
                <w:rFonts w:ascii="Times New Roman" w:hAnsi="Times New Roman" w:eastAsia="宋体" w:cs="Times New Roman"/>
                <w:kern w:val="0"/>
                <w:szCs w:val="21"/>
              </w:rPr>
            </w:pPr>
          </w:p>
        </w:tc>
        <w:tc>
          <w:tcPr>
            <w:tcW w:w="1469"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地面火炬</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用于非</w:t>
            </w:r>
            <w:r>
              <w:rPr>
                <w:rFonts w:hint="eastAsia" w:ascii="Times New Roman" w:hAnsi="Times New Roman" w:eastAsia="宋体" w:cs="Times New Roman"/>
                <w:kern w:val="0"/>
                <w:szCs w:val="21"/>
              </w:rPr>
              <w:t>正</w:t>
            </w:r>
            <w:r>
              <w:rPr>
                <w:rFonts w:ascii="Times New Roman" w:hAnsi="Times New Roman" w:eastAsia="宋体" w:cs="Times New Roman"/>
                <w:kern w:val="0"/>
                <w:szCs w:val="21"/>
              </w:rPr>
              <w:t>常废气治理</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 xml:space="preserve">20t/h地面火炬 </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用于非</w:t>
            </w:r>
            <w:r>
              <w:rPr>
                <w:rFonts w:hint="eastAsia" w:ascii="Times New Roman" w:hAnsi="Times New Roman" w:eastAsia="宋体" w:cs="Times New Roman"/>
                <w:kern w:val="0"/>
                <w:szCs w:val="21"/>
              </w:rPr>
              <w:t>正</w:t>
            </w:r>
            <w:r>
              <w:rPr>
                <w:rFonts w:ascii="Times New Roman" w:hAnsi="Times New Roman" w:eastAsia="宋体" w:cs="Times New Roman"/>
                <w:kern w:val="0"/>
                <w:szCs w:val="21"/>
              </w:rPr>
              <w:t>常废气治理</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20t/h地面火炬</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643" w:type="dxa"/>
            <w:vMerge w:val="continue"/>
            <w:vAlign w:val="center"/>
          </w:tcPr>
          <w:p>
            <w:pPr>
              <w:widowControl/>
              <w:spacing w:line="240" w:lineRule="exact"/>
              <w:jc w:val="center"/>
              <w:rPr>
                <w:rFonts w:ascii="Times New Roman" w:hAnsi="Times New Roman" w:eastAsia="宋体" w:cs="Times New Roman"/>
                <w:kern w:val="0"/>
                <w:szCs w:val="21"/>
              </w:rPr>
            </w:pPr>
          </w:p>
        </w:tc>
        <w:tc>
          <w:tcPr>
            <w:tcW w:w="1469"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罐区油气回收</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油气回收装置</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冷凝并经过富集系统将混合气体中烃类截留</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油气</w:t>
            </w:r>
            <w:r>
              <w:fldChar w:fldCharType="begin"/>
            </w:r>
            <w:r>
              <w:instrText xml:space="preserve"> HYPERLINK "http://wenwen.soso.com/z/Search.e?sp=S%E5%9B%9E%E6%94%B6%E7%8E%87&amp;ch=w.search.yjjlink&amp;cid=w.search.yjjlink" </w:instrText>
            </w:r>
            <w:r>
              <w:fldChar w:fldCharType="separate"/>
            </w:r>
            <w:r>
              <w:rPr>
                <w:rFonts w:ascii="Times New Roman" w:hAnsi="Times New Roman" w:eastAsia="宋体" w:cs="Times New Roman"/>
                <w:kern w:val="0"/>
                <w:szCs w:val="21"/>
              </w:rPr>
              <w:t>回收率</w:t>
            </w:r>
            <w:r>
              <w:rPr>
                <w:rFonts w:ascii="Times New Roman" w:hAnsi="Times New Roman" w:eastAsia="宋体" w:cs="Times New Roman"/>
                <w:kern w:val="0"/>
                <w:szCs w:val="21"/>
              </w:rPr>
              <w:fldChar w:fldCharType="end"/>
            </w:r>
            <w:r>
              <w:rPr>
                <w:rFonts w:ascii="Times New Roman" w:hAnsi="Times New Roman" w:eastAsia="宋体" w:cs="Times New Roman"/>
                <w:kern w:val="0"/>
                <w:szCs w:val="21"/>
              </w:rPr>
              <w:t>高达99%以上</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油气回收装置</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冷凝并经过富集系统将混合气体中烃类截留</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油气</w:t>
            </w:r>
            <w:r>
              <w:fldChar w:fldCharType="begin"/>
            </w:r>
            <w:r>
              <w:instrText xml:space="preserve"> HYPERLINK "http://wenwen.soso.com/z/Search.e?sp=S%E5%9B%9E%E6%94%B6%E7%8E%87&amp;ch=w.search.yjjlink&amp;cid=w.search.yjjlink" </w:instrText>
            </w:r>
            <w:r>
              <w:fldChar w:fldCharType="separate"/>
            </w:r>
            <w:r>
              <w:rPr>
                <w:rFonts w:ascii="Times New Roman" w:hAnsi="Times New Roman" w:eastAsia="宋体" w:cs="Times New Roman"/>
                <w:kern w:val="0"/>
                <w:szCs w:val="21"/>
              </w:rPr>
              <w:t>回收率</w:t>
            </w:r>
            <w:r>
              <w:rPr>
                <w:rFonts w:ascii="Times New Roman" w:hAnsi="Times New Roman" w:eastAsia="宋体" w:cs="Times New Roman"/>
                <w:kern w:val="0"/>
                <w:szCs w:val="21"/>
              </w:rPr>
              <w:fldChar w:fldCharType="end"/>
            </w:r>
            <w:r>
              <w:rPr>
                <w:rFonts w:ascii="Times New Roman" w:hAnsi="Times New Roman" w:eastAsia="宋体" w:cs="Times New Roman"/>
                <w:kern w:val="0"/>
                <w:szCs w:val="21"/>
              </w:rPr>
              <w:t>高达99%以上</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643" w:type="dxa"/>
            <w:vMerge w:val="continue"/>
            <w:vAlign w:val="center"/>
          </w:tcPr>
          <w:p>
            <w:pPr>
              <w:widowControl/>
              <w:spacing w:line="240" w:lineRule="exact"/>
              <w:jc w:val="center"/>
              <w:rPr>
                <w:rFonts w:ascii="Times New Roman" w:hAnsi="Times New Roman" w:eastAsia="宋体" w:cs="Times New Roman"/>
                <w:kern w:val="0"/>
                <w:szCs w:val="21"/>
              </w:rPr>
            </w:pPr>
          </w:p>
        </w:tc>
        <w:tc>
          <w:tcPr>
            <w:tcW w:w="1469"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储罐区</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一套微生物吸附装置+15m排气筒排放</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非甲烷总烃处理效率为90%</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一套微生物吸附装置+15m排气筒排放</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非甲烷总烃处理效率为90%</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643" w:type="dxa"/>
            <w:vMerge w:val="continue"/>
            <w:vAlign w:val="center"/>
          </w:tcPr>
          <w:p>
            <w:pPr>
              <w:widowControl/>
              <w:spacing w:line="240" w:lineRule="exact"/>
              <w:jc w:val="center"/>
              <w:rPr>
                <w:rFonts w:ascii="Times New Roman" w:hAnsi="Times New Roman" w:eastAsia="宋体" w:cs="Times New Roman"/>
                <w:kern w:val="0"/>
                <w:szCs w:val="21"/>
              </w:rPr>
            </w:pPr>
          </w:p>
        </w:tc>
        <w:tc>
          <w:tcPr>
            <w:tcW w:w="1469"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污水处理站</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一套微生物吸附装置+15m排气筒排放</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非甲烷总烃处理效率为90%</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一套微生物吸附装置+15m排气筒排放</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非甲烷总烃处理效率为90%</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643" w:type="dxa"/>
            <w:vMerge w:val="continue"/>
            <w:vAlign w:val="center"/>
          </w:tcPr>
          <w:p>
            <w:pPr>
              <w:widowControl/>
              <w:spacing w:line="240" w:lineRule="exact"/>
              <w:jc w:val="center"/>
              <w:rPr>
                <w:rFonts w:ascii="Times New Roman" w:hAnsi="Times New Roman" w:eastAsia="宋体" w:cs="Times New Roman"/>
                <w:kern w:val="0"/>
                <w:szCs w:val="21"/>
              </w:rPr>
            </w:pPr>
          </w:p>
        </w:tc>
        <w:tc>
          <w:tcPr>
            <w:tcW w:w="1469"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食堂</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油烟净化装置</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油烟净化装置</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643" w:type="dxa"/>
            <w:vMerge w:val="continue"/>
            <w:vAlign w:val="center"/>
          </w:tcPr>
          <w:p>
            <w:pPr>
              <w:widowControl/>
              <w:spacing w:line="240" w:lineRule="exact"/>
              <w:jc w:val="center"/>
              <w:rPr>
                <w:rFonts w:ascii="Times New Roman" w:hAnsi="Times New Roman" w:eastAsia="宋体" w:cs="Times New Roman"/>
                <w:kern w:val="0"/>
                <w:szCs w:val="21"/>
              </w:rPr>
            </w:pPr>
          </w:p>
        </w:tc>
        <w:tc>
          <w:tcPr>
            <w:tcW w:w="1469"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无组织废气</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加强通风</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加强通风</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643" w:type="dxa"/>
            <w:vMerge w:val="restart"/>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废水</w:t>
            </w:r>
          </w:p>
        </w:tc>
        <w:tc>
          <w:tcPr>
            <w:tcW w:w="1469"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污水处理</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200m</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/d</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隔油+油水分离+混凝沉淀+气浮+高级氧化+水解酸化+UASB+A/O+MBR</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200m</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/d</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隔油+气浮+ UASB+A/O</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进水水质改变，</w:t>
            </w:r>
            <w:r>
              <w:rPr>
                <w:rFonts w:ascii="Times New Roman" w:hAnsi="Times New Roman" w:eastAsia="宋体" w:cs="Times New Roman"/>
                <w:kern w:val="0"/>
                <w:szCs w:val="21"/>
              </w:rPr>
              <w:t>工艺</w:t>
            </w:r>
            <w:r>
              <w:rPr>
                <w:rFonts w:hint="eastAsia" w:ascii="Times New Roman" w:hAnsi="Times New Roman" w:eastAsia="宋体" w:cs="Times New Roman"/>
                <w:kern w:val="0"/>
                <w:szCs w:val="21"/>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643" w:type="dxa"/>
            <w:vMerge w:val="continue"/>
            <w:vAlign w:val="center"/>
          </w:tcPr>
          <w:p>
            <w:pPr>
              <w:widowControl/>
              <w:spacing w:line="240" w:lineRule="exact"/>
              <w:jc w:val="center"/>
              <w:rPr>
                <w:rFonts w:ascii="Times New Roman" w:hAnsi="Times New Roman" w:eastAsia="宋体" w:cs="Times New Roman"/>
                <w:kern w:val="0"/>
                <w:szCs w:val="21"/>
              </w:rPr>
            </w:pPr>
          </w:p>
        </w:tc>
        <w:tc>
          <w:tcPr>
            <w:tcW w:w="1469"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雨污管网</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雨污分流</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雨污分流</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643"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固废</w:t>
            </w:r>
          </w:p>
        </w:tc>
        <w:tc>
          <w:tcPr>
            <w:tcW w:w="1469"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危废暂存间</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占地面积200m</w:t>
            </w:r>
            <w:r>
              <w:rPr>
                <w:rFonts w:ascii="Times New Roman" w:hAnsi="Times New Roman" w:eastAsia="宋体" w:cs="Times New Roman"/>
                <w:kern w:val="0"/>
                <w:szCs w:val="21"/>
                <w:vertAlign w:val="superscript"/>
              </w:rPr>
              <w:t>2</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占地面积200m</w:t>
            </w:r>
            <w:r>
              <w:rPr>
                <w:rFonts w:ascii="Times New Roman" w:hAnsi="Times New Roman" w:eastAsia="宋体" w:cs="Times New Roman"/>
                <w:kern w:val="0"/>
                <w:szCs w:val="21"/>
                <w:vertAlign w:val="superscript"/>
              </w:rPr>
              <w:t>2</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643"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噪声</w:t>
            </w:r>
          </w:p>
        </w:tc>
        <w:tc>
          <w:tcPr>
            <w:tcW w:w="1469"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选取低噪设备，合理布局；局部消声、隔声，厂房隔音等</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选取低噪设备，合理布局；局部消声、隔声，厂房隔音等</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643"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环境风险</w:t>
            </w:r>
          </w:p>
        </w:tc>
        <w:tc>
          <w:tcPr>
            <w:tcW w:w="1469"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事故池</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2000m</w:t>
            </w:r>
            <w:r>
              <w:rPr>
                <w:rFonts w:ascii="Times New Roman" w:hAnsi="Times New Roman" w:eastAsia="宋体" w:cs="Times New Roman"/>
                <w:kern w:val="0"/>
                <w:szCs w:val="21"/>
                <w:vertAlign w:val="superscript"/>
              </w:rPr>
              <w:t xml:space="preserve">3 </w:t>
            </w:r>
            <w:r>
              <w:rPr>
                <w:rFonts w:ascii="Times New Roman" w:hAnsi="Times New Roman" w:eastAsia="宋体" w:cs="Times New Roman"/>
                <w:kern w:val="0"/>
                <w:szCs w:val="21"/>
              </w:rPr>
              <w:t>事故池兼初期雨水池</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2000m</w:t>
            </w:r>
            <w:r>
              <w:rPr>
                <w:rFonts w:ascii="Times New Roman" w:hAnsi="Times New Roman" w:eastAsia="宋体" w:cs="Times New Roman"/>
                <w:kern w:val="0"/>
                <w:szCs w:val="21"/>
                <w:vertAlign w:val="superscript"/>
              </w:rPr>
              <w:t xml:space="preserve">3 </w:t>
            </w:r>
            <w:r>
              <w:rPr>
                <w:rFonts w:ascii="Times New Roman" w:hAnsi="Times New Roman" w:eastAsia="宋体" w:cs="Times New Roman"/>
                <w:kern w:val="0"/>
                <w:szCs w:val="21"/>
              </w:rPr>
              <w:t>事故池兼初期雨水池</w:t>
            </w:r>
            <w:r>
              <w:rPr>
                <w:rFonts w:hint="eastAsia" w:ascii="Times New Roman" w:hAnsi="Times New Roman" w:eastAsia="宋体" w:cs="Times New Roman"/>
                <w:kern w:val="0"/>
                <w:szCs w:val="21"/>
              </w:rPr>
              <w:t>，新增200</w:t>
            </w:r>
            <w:r>
              <w:rPr>
                <w:rFonts w:ascii="Times New Roman" w:hAnsi="Times New Roman" w:eastAsia="宋体" w:cs="Times New Roman"/>
                <w:kern w:val="0"/>
                <w:szCs w:val="21"/>
              </w:rPr>
              <w:t>m</w:t>
            </w:r>
            <w:r>
              <w:rPr>
                <w:rFonts w:ascii="Times New Roman" w:hAnsi="Times New Roman" w:eastAsia="宋体" w:cs="Times New Roman"/>
                <w:kern w:val="0"/>
                <w:szCs w:val="21"/>
                <w:vertAlign w:val="superscript"/>
              </w:rPr>
              <w:t>3</w:t>
            </w:r>
            <w:r>
              <w:rPr>
                <w:rFonts w:hint="eastAsia" w:ascii="Times New Roman" w:hAnsi="Times New Roman" w:eastAsia="宋体" w:cs="Times New Roman"/>
                <w:kern w:val="0"/>
                <w:szCs w:val="21"/>
              </w:rPr>
              <w:t>原料罐区初期雨水收集池</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为后期建设预留余量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restart"/>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辅助工程</w:t>
            </w:r>
          </w:p>
        </w:tc>
        <w:tc>
          <w:tcPr>
            <w:tcW w:w="2112" w:type="dxa"/>
            <w:gridSpan w:val="2"/>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研发中心</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3F，建筑面积2127m</w:t>
            </w:r>
            <w:r>
              <w:rPr>
                <w:rFonts w:ascii="Times New Roman" w:hAnsi="Times New Roman" w:eastAsia="宋体" w:cs="Times New Roman"/>
                <w:kern w:val="0"/>
                <w:szCs w:val="21"/>
                <w:vertAlign w:val="superscript"/>
              </w:rPr>
              <w:t>2</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3F，建筑面积2127m</w:t>
            </w:r>
            <w:r>
              <w:rPr>
                <w:rFonts w:ascii="Times New Roman" w:hAnsi="Times New Roman" w:eastAsia="宋体" w:cs="Times New Roman"/>
                <w:kern w:val="0"/>
                <w:szCs w:val="21"/>
                <w:vertAlign w:val="superscript"/>
              </w:rPr>
              <w:t>2</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2112" w:type="dxa"/>
            <w:gridSpan w:val="2"/>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门卫+地磅房</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1F，44m</w:t>
            </w:r>
            <w:r>
              <w:rPr>
                <w:rFonts w:ascii="Times New Roman" w:hAnsi="Times New Roman" w:eastAsia="宋体" w:cs="Times New Roman"/>
                <w:kern w:val="0"/>
                <w:szCs w:val="21"/>
                <w:vertAlign w:val="superscript"/>
              </w:rPr>
              <w:t>2</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1F，44m</w:t>
            </w:r>
            <w:r>
              <w:rPr>
                <w:rFonts w:ascii="Times New Roman" w:hAnsi="Times New Roman" w:eastAsia="宋体" w:cs="Times New Roman"/>
                <w:kern w:val="0"/>
                <w:szCs w:val="21"/>
                <w:vertAlign w:val="superscript"/>
              </w:rPr>
              <w:t>2</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2112" w:type="dxa"/>
            <w:gridSpan w:val="2"/>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空压站</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1F，600m</w:t>
            </w:r>
            <w:r>
              <w:rPr>
                <w:rFonts w:ascii="Times New Roman" w:hAnsi="Times New Roman" w:eastAsia="宋体" w:cs="Times New Roman"/>
                <w:kern w:val="0"/>
                <w:szCs w:val="21"/>
                <w:vertAlign w:val="superscript"/>
              </w:rPr>
              <w:t>2</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1F，600m</w:t>
            </w:r>
            <w:r>
              <w:rPr>
                <w:rFonts w:ascii="Times New Roman" w:hAnsi="Times New Roman" w:eastAsia="宋体" w:cs="Times New Roman"/>
                <w:kern w:val="0"/>
                <w:szCs w:val="21"/>
                <w:vertAlign w:val="superscript"/>
              </w:rPr>
              <w:t>2</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2112" w:type="dxa"/>
            <w:gridSpan w:val="2"/>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化验室</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1F，396m</w:t>
            </w:r>
            <w:r>
              <w:rPr>
                <w:rFonts w:ascii="Times New Roman" w:hAnsi="Times New Roman" w:eastAsia="宋体" w:cs="Times New Roman"/>
                <w:kern w:val="0"/>
                <w:szCs w:val="21"/>
                <w:vertAlign w:val="superscript"/>
              </w:rPr>
              <w:t>2</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1F，396m</w:t>
            </w:r>
            <w:r>
              <w:rPr>
                <w:rFonts w:ascii="Times New Roman" w:hAnsi="Times New Roman" w:eastAsia="宋体" w:cs="Times New Roman"/>
                <w:kern w:val="0"/>
                <w:szCs w:val="21"/>
                <w:vertAlign w:val="superscript"/>
              </w:rPr>
              <w:t>2</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2112" w:type="dxa"/>
            <w:gridSpan w:val="2"/>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备品备件库</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1F，210m</w:t>
            </w:r>
            <w:r>
              <w:rPr>
                <w:rFonts w:ascii="Times New Roman" w:hAnsi="Times New Roman" w:eastAsia="宋体" w:cs="Times New Roman"/>
                <w:kern w:val="0"/>
                <w:szCs w:val="21"/>
                <w:vertAlign w:val="superscript"/>
              </w:rPr>
              <w:t>2</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1F，210m</w:t>
            </w:r>
            <w:r>
              <w:rPr>
                <w:rFonts w:ascii="Times New Roman" w:hAnsi="Times New Roman" w:eastAsia="宋体" w:cs="Times New Roman"/>
                <w:kern w:val="0"/>
                <w:szCs w:val="21"/>
                <w:vertAlign w:val="superscript"/>
              </w:rPr>
              <w:t>2</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vMerge w:val="continue"/>
            <w:vAlign w:val="center"/>
          </w:tcPr>
          <w:p>
            <w:pPr>
              <w:widowControl/>
              <w:spacing w:line="240" w:lineRule="exact"/>
              <w:jc w:val="center"/>
              <w:rPr>
                <w:rFonts w:ascii="Times New Roman" w:hAnsi="Times New Roman" w:eastAsia="宋体" w:cs="Times New Roman"/>
                <w:kern w:val="0"/>
                <w:szCs w:val="21"/>
              </w:rPr>
            </w:pPr>
          </w:p>
        </w:tc>
        <w:tc>
          <w:tcPr>
            <w:tcW w:w="2112" w:type="dxa"/>
            <w:gridSpan w:val="2"/>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中央控制室</w:t>
            </w:r>
          </w:p>
        </w:tc>
        <w:tc>
          <w:tcPr>
            <w:tcW w:w="2551"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1F，540m</w:t>
            </w:r>
            <w:r>
              <w:rPr>
                <w:rFonts w:ascii="Times New Roman" w:hAnsi="Times New Roman" w:eastAsia="宋体" w:cs="Times New Roman"/>
                <w:kern w:val="0"/>
                <w:szCs w:val="21"/>
                <w:vertAlign w:val="superscript"/>
              </w:rPr>
              <w:t>2</w:t>
            </w:r>
          </w:p>
        </w:tc>
        <w:tc>
          <w:tcPr>
            <w:tcW w:w="2722"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1F，540m</w:t>
            </w:r>
            <w:r>
              <w:rPr>
                <w:rFonts w:ascii="Times New Roman" w:hAnsi="Times New Roman" w:eastAsia="宋体" w:cs="Times New Roman"/>
                <w:kern w:val="0"/>
                <w:szCs w:val="21"/>
                <w:vertAlign w:val="superscript"/>
              </w:rPr>
              <w:t>2</w:t>
            </w:r>
          </w:p>
        </w:tc>
        <w:tc>
          <w:tcPr>
            <w:tcW w:w="1137" w:type="dxa"/>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bl>
    <w:p>
      <w:pPr>
        <w:spacing w:before="80" w:after="80" w:line="520" w:lineRule="exact"/>
        <w:outlineLvl w:val="2"/>
        <w:rPr>
          <w:rFonts w:ascii="Times New Roman" w:hAnsi="Times New Roman" w:eastAsia="楷体" w:cs="Times New Roman"/>
          <w:sz w:val="28"/>
          <w:szCs w:val="28"/>
        </w:rPr>
      </w:pPr>
      <w:bookmarkStart w:id="29" w:name="_Toc8391533"/>
      <w:r>
        <w:rPr>
          <w:rFonts w:hint="eastAsia" w:ascii="Times New Roman" w:hAnsi="Times New Roman" w:eastAsia="楷体" w:cs="Times New Roman"/>
          <w:sz w:val="28"/>
          <w:szCs w:val="28"/>
        </w:rPr>
        <w:t>3.1.2 本项目实际建设内容与原环评批复对比分析</w:t>
      </w:r>
      <w:bookmarkEnd w:id="29"/>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项目变更后实际的建设内容与原环评批复要求的对比分析见下表。</w:t>
      </w:r>
    </w:p>
    <w:p>
      <w:pPr>
        <w:spacing w:line="480" w:lineRule="exact"/>
        <w:ind w:firstLine="480" w:firstLineChars="200"/>
        <w:rPr>
          <w:rFonts w:ascii="Times New Roman" w:hAnsi="Times New Roman" w:eastAsia="黑体" w:cs="Times New Roman"/>
          <w:sz w:val="24"/>
        </w:rPr>
      </w:pPr>
      <w:r>
        <w:rPr>
          <w:rFonts w:ascii="Times New Roman" w:hAnsi="Times New Roman" w:eastAsia="黑体" w:cs="Times New Roman"/>
          <w:sz w:val="24"/>
        </w:rPr>
        <w:t>表3.1-3      本项目</w:t>
      </w:r>
      <w:r>
        <w:rPr>
          <w:rFonts w:hint="eastAsia" w:ascii="Times New Roman" w:hAnsi="Times New Roman" w:eastAsia="黑体" w:cs="Times New Roman"/>
          <w:sz w:val="24"/>
        </w:rPr>
        <w:t>变更前后主要</w:t>
      </w:r>
      <w:r>
        <w:rPr>
          <w:rFonts w:ascii="Times New Roman" w:hAnsi="Times New Roman" w:eastAsia="黑体" w:cs="Times New Roman"/>
          <w:sz w:val="24"/>
        </w:rPr>
        <w:t>建设</w:t>
      </w:r>
      <w:r>
        <w:rPr>
          <w:rFonts w:hint="eastAsia" w:ascii="Times New Roman" w:hAnsi="Times New Roman" w:eastAsia="黑体" w:cs="Times New Roman"/>
          <w:sz w:val="24"/>
        </w:rPr>
        <w:t>内容变化情况</w:t>
      </w:r>
      <w:r>
        <w:rPr>
          <w:rFonts w:ascii="Times New Roman" w:hAnsi="Times New Roman" w:eastAsia="黑体" w:cs="Times New Roman"/>
          <w:sz w:val="24"/>
        </w:rPr>
        <w:t>一览表</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1"/>
        <w:gridCol w:w="3260"/>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批复内容</w:t>
            </w:r>
          </w:p>
        </w:tc>
        <w:tc>
          <w:tcPr>
            <w:tcW w:w="3260"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项目实际建设内容</w:t>
            </w:r>
          </w:p>
        </w:tc>
        <w:tc>
          <w:tcPr>
            <w:tcW w:w="64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vAlign w:val="center"/>
          </w:tcPr>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一、</w:t>
            </w:r>
            <w:r>
              <w:rPr>
                <w:rFonts w:ascii="Times New Roman" w:hAnsi="Times New Roman" w:eastAsia="宋体" w:cs="Times New Roman"/>
                <w:szCs w:val="21"/>
              </w:rPr>
              <w:t>本</w:t>
            </w:r>
            <w:r>
              <w:rPr>
                <w:rFonts w:hint="eastAsia" w:ascii="Times New Roman" w:hAnsi="Times New Roman" w:eastAsia="宋体" w:cs="Times New Roman"/>
                <w:szCs w:val="21"/>
              </w:rPr>
              <w:t>项目位于濮阳经开区濮源路与建设西路交叉口西北角。</w:t>
            </w:r>
            <w:r>
              <w:rPr>
                <w:rFonts w:ascii="Times New Roman" w:hAnsi="Times New Roman" w:eastAsia="宋体" w:cs="Times New Roman"/>
                <w:szCs w:val="21"/>
              </w:rPr>
              <w:t>项目</w:t>
            </w:r>
            <w:r>
              <w:rPr>
                <w:rFonts w:hint="eastAsia" w:ascii="Times New Roman" w:hAnsi="Times New Roman" w:eastAsia="宋体" w:cs="Times New Roman"/>
                <w:szCs w:val="21"/>
              </w:rPr>
              <w:t>总投资5.8亿元，</w:t>
            </w:r>
            <w:r>
              <w:rPr>
                <w:rFonts w:ascii="Times New Roman" w:hAnsi="Times New Roman" w:eastAsia="宋体" w:cs="Times New Roman"/>
                <w:szCs w:val="21"/>
              </w:rPr>
              <w:t>采用</w:t>
            </w:r>
            <w:r>
              <w:rPr>
                <w:rFonts w:hint="eastAsia" w:ascii="Times New Roman" w:hAnsi="Times New Roman" w:eastAsia="宋体" w:cs="Times New Roman"/>
                <w:szCs w:val="21"/>
              </w:rPr>
              <w:t>原料预处理、</w:t>
            </w:r>
            <w:r>
              <w:rPr>
                <w:rFonts w:ascii="Times New Roman" w:hAnsi="Times New Roman" w:eastAsia="宋体" w:cs="Times New Roman"/>
                <w:szCs w:val="21"/>
              </w:rPr>
              <w:t>溶剂</w:t>
            </w:r>
            <w:r>
              <w:rPr>
                <w:rFonts w:hint="eastAsia" w:ascii="Times New Roman" w:hAnsi="Times New Roman" w:eastAsia="宋体" w:cs="Times New Roman"/>
                <w:szCs w:val="21"/>
              </w:rPr>
              <w:t>精制和减压蒸馏等工序，</w:t>
            </w:r>
            <w:r>
              <w:rPr>
                <w:rFonts w:ascii="Times New Roman" w:hAnsi="Times New Roman" w:eastAsia="宋体" w:cs="Times New Roman"/>
                <w:szCs w:val="21"/>
              </w:rPr>
              <w:t>拟</w:t>
            </w:r>
            <w:r>
              <w:rPr>
                <w:rFonts w:hint="eastAsia" w:ascii="Times New Roman" w:hAnsi="Times New Roman" w:eastAsia="宋体" w:cs="Times New Roman"/>
                <w:szCs w:val="21"/>
              </w:rPr>
              <w:t>收集废矿物油10万吨/年。生产产品基础油，</w:t>
            </w:r>
            <w:r>
              <w:rPr>
                <w:rFonts w:ascii="Times New Roman" w:hAnsi="Times New Roman" w:eastAsia="宋体" w:cs="Times New Roman"/>
                <w:szCs w:val="21"/>
              </w:rPr>
              <w:t>并</w:t>
            </w:r>
            <w:r>
              <w:rPr>
                <w:rFonts w:hint="eastAsia" w:ascii="Times New Roman" w:hAnsi="Times New Roman" w:eastAsia="宋体" w:cs="Times New Roman"/>
                <w:szCs w:val="21"/>
              </w:rPr>
              <w:t>副产品汽油、</w:t>
            </w:r>
            <w:r>
              <w:rPr>
                <w:rFonts w:ascii="Times New Roman" w:hAnsi="Times New Roman" w:eastAsia="宋体" w:cs="Times New Roman"/>
                <w:szCs w:val="21"/>
              </w:rPr>
              <w:t>燃料油</w:t>
            </w:r>
            <w:r>
              <w:rPr>
                <w:rFonts w:hint="eastAsia" w:ascii="Times New Roman" w:hAnsi="Times New Roman" w:eastAsia="宋体" w:cs="Times New Roman"/>
                <w:szCs w:val="21"/>
              </w:rPr>
              <w:t>、</w:t>
            </w:r>
            <w:r>
              <w:rPr>
                <w:rFonts w:ascii="Times New Roman" w:hAnsi="Times New Roman" w:eastAsia="宋体" w:cs="Times New Roman"/>
                <w:szCs w:val="21"/>
              </w:rPr>
              <w:t>柴油</w:t>
            </w:r>
            <w:r>
              <w:rPr>
                <w:rFonts w:hint="eastAsia" w:ascii="Times New Roman" w:hAnsi="Times New Roman" w:eastAsia="宋体" w:cs="Times New Roman"/>
                <w:szCs w:val="21"/>
              </w:rPr>
              <w:t>和沥青。</w:t>
            </w:r>
          </w:p>
        </w:tc>
        <w:tc>
          <w:tcPr>
            <w:tcW w:w="3260" w:type="dxa"/>
            <w:vAlign w:val="center"/>
          </w:tcPr>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项目位于</w:t>
            </w:r>
            <w:r>
              <w:rPr>
                <w:rFonts w:ascii="Times New Roman" w:hAnsi="Times New Roman" w:eastAsia="宋体" w:cs="Times New Roman"/>
                <w:szCs w:val="21"/>
              </w:rPr>
              <w:t>河南省</w:t>
            </w:r>
            <w:r>
              <w:rPr>
                <w:rFonts w:hint="eastAsia" w:ascii="Times New Roman" w:hAnsi="Times New Roman" w:eastAsia="宋体" w:cs="Times New Roman"/>
                <w:szCs w:val="21"/>
              </w:rPr>
              <w:t>濮阳经济技术产业集聚区</w:t>
            </w:r>
            <w:r>
              <w:rPr>
                <w:rFonts w:ascii="Times New Roman" w:hAnsi="Times New Roman" w:eastAsia="宋体" w:cs="Times New Roman"/>
                <w:szCs w:val="21"/>
              </w:rPr>
              <w:t>濮源路与建设西路交叉口西北角</w:t>
            </w:r>
            <w:r>
              <w:rPr>
                <w:rFonts w:hint="eastAsia" w:ascii="Times New Roman" w:hAnsi="Times New Roman" w:eastAsia="宋体" w:cs="Times New Roman"/>
                <w:szCs w:val="21"/>
              </w:rPr>
              <w:t>，总投资5.8亿元，以</w:t>
            </w:r>
            <w:r>
              <w:rPr>
                <w:rFonts w:ascii="Times New Roman" w:hAnsi="Times New Roman" w:eastAsia="宋体" w:cs="Times New Roman"/>
                <w:szCs w:val="21"/>
              </w:rPr>
              <w:t>10</w:t>
            </w:r>
            <w:r>
              <w:rPr>
                <w:rFonts w:hint="eastAsia" w:ascii="Times New Roman" w:hAnsi="Times New Roman" w:eastAsia="宋体" w:cs="Times New Roman"/>
                <w:szCs w:val="21"/>
              </w:rPr>
              <w:t>万吨</w:t>
            </w:r>
            <w:r>
              <w:rPr>
                <w:rFonts w:ascii="Times New Roman" w:hAnsi="Times New Roman" w:eastAsia="宋体" w:cs="Times New Roman"/>
                <w:szCs w:val="21"/>
              </w:rPr>
              <w:t>/</w:t>
            </w:r>
            <w:r>
              <w:rPr>
                <w:rFonts w:hint="eastAsia" w:ascii="Times New Roman" w:hAnsi="Times New Roman" w:eastAsia="宋体" w:cs="Times New Roman"/>
                <w:szCs w:val="21"/>
              </w:rPr>
              <w:t>年废矿物油为原料，</w:t>
            </w:r>
            <w:r>
              <w:rPr>
                <w:rFonts w:ascii="Times New Roman" w:hAnsi="Times New Roman" w:eastAsia="宋体" w:cs="Times New Roman"/>
                <w:szCs w:val="21"/>
              </w:rPr>
              <w:t>采用</w:t>
            </w:r>
            <w:r>
              <w:rPr>
                <w:rFonts w:hint="eastAsia" w:ascii="Times New Roman" w:hAnsi="Times New Roman" w:eastAsia="宋体" w:cs="Times New Roman"/>
                <w:szCs w:val="21"/>
              </w:rPr>
              <w:t>原料预处理、</w:t>
            </w:r>
            <w:r>
              <w:rPr>
                <w:rFonts w:ascii="Times New Roman" w:hAnsi="Times New Roman" w:eastAsia="宋体" w:cs="Times New Roman"/>
                <w:szCs w:val="21"/>
              </w:rPr>
              <w:t>溶剂</w:t>
            </w:r>
            <w:r>
              <w:rPr>
                <w:rFonts w:hint="eastAsia" w:ascii="Times New Roman" w:hAnsi="Times New Roman" w:eastAsia="宋体" w:cs="Times New Roman"/>
                <w:szCs w:val="21"/>
              </w:rPr>
              <w:t>精制和减压蒸馏等工序，生产产品基础油及副产品汽油、</w:t>
            </w:r>
            <w:r>
              <w:rPr>
                <w:rFonts w:ascii="Times New Roman" w:hAnsi="Times New Roman" w:eastAsia="宋体" w:cs="Times New Roman"/>
                <w:szCs w:val="21"/>
              </w:rPr>
              <w:t>燃料油</w:t>
            </w:r>
            <w:r>
              <w:rPr>
                <w:rFonts w:hint="eastAsia" w:ascii="Times New Roman" w:hAnsi="Times New Roman" w:eastAsia="宋体" w:cs="Times New Roman"/>
                <w:szCs w:val="21"/>
              </w:rPr>
              <w:t>、</w:t>
            </w:r>
            <w:r>
              <w:rPr>
                <w:rFonts w:ascii="Times New Roman" w:hAnsi="Times New Roman" w:eastAsia="宋体" w:cs="Times New Roman"/>
                <w:szCs w:val="21"/>
              </w:rPr>
              <w:t>柴油</w:t>
            </w:r>
            <w:r>
              <w:rPr>
                <w:rFonts w:hint="eastAsia" w:ascii="Times New Roman" w:hAnsi="Times New Roman" w:eastAsia="宋体" w:cs="Times New Roman"/>
                <w:szCs w:val="21"/>
              </w:rPr>
              <w:t>和沥青。</w:t>
            </w:r>
          </w:p>
        </w:tc>
        <w:tc>
          <w:tcPr>
            <w:tcW w:w="64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vAlign w:val="center"/>
          </w:tcPr>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二、</w:t>
            </w:r>
            <w:r>
              <w:rPr>
                <w:rFonts w:ascii="Times New Roman" w:hAnsi="Times New Roman" w:eastAsia="宋体" w:cs="Times New Roman"/>
                <w:szCs w:val="21"/>
              </w:rPr>
              <w:t>本项目</w:t>
            </w:r>
            <w:r>
              <w:rPr>
                <w:rFonts w:hint="eastAsia" w:ascii="Times New Roman" w:hAnsi="Times New Roman" w:eastAsia="宋体" w:cs="Times New Roman"/>
                <w:szCs w:val="21"/>
              </w:rPr>
              <w:t>已经经开区发改部门备案（2</w:t>
            </w:r>
            <w:r>
              <w:rPr>
                <w:rFonts w:ascii="Times New Roman" w:hAnsi="Times New Roman" w:eastAsia="宋体" w:cs="Times New Roman"/>
                <w:szCs w:val="21"/>
              </w:rPr>
              <w:t>017-410952-42-03-045423）符合</w:t>
            </w:r>
            <w:r>
              <w:rPr>
                <w:rFonts w:hint="eastAsia" w:ascii="Times New Roman" w:hAnsi="Times New Roman" w:eastAsia="宋体" w:cs="Times New Roman"/>
                <w:szCs w:val="21"/>
              </w:rPr>
              <w:t>相关产业政策；</w:t>
            </w:r>
            <w:r>
              <w:rPr>
                <w:rFonts w:ascii="Times New Roman" w:hAnsi="Times New Roman" w:eastAsia="宋体" w:cs="Times New Roman"/>
                <w:szCs w:val="21"/>
              </w:rPr>
              <w:t>项目</w:t>
            </w:r>
            <w:r>
              <w:rPr>
                <w:rFonts w:hint="eastAsia" w:ascii="Times New Roman" w:hAnsi="Times New Roman" w:eastAsia="宋体" w:cs="Times New Roman"/>
                <w:szCs w:val="21"/>
              </w:rPr>
              <w:t>位于濮阳经济技术产业集聚区，</w:t>
            </w:r>
            <w:r>
              <w:rPr>
                <w:rFonts w:ascii="Times New Roman" w:hAnsi="Times New Roman" w:eastAsia="宋体" w:cs="Times New Roman"/>
                <w:szCs w:val="21"/>
              </w:rPr>
              <w:t>用地</w:t>
            </w:r>
            <w:r>
              <w:rPr>
                <w:rFonts w:hint="eastAsia" w:ascii="Times New Roman" w:hAnsi="Times New Roman" w:eastAsia="宋体" w:cs="Times New Roman"/>
                <w:szCs w:val="21"/>
              </w:rPr>
              <w:t>性质为工业用地，</w:t>
            </w:r>
            <w:r>
              <w:rPr>
                <w:rFonts w:ascii="Times New Roman" w:hAnsi="Times New Roman" w:eastAsia="宋体" w:cs="Times New Roman"/>
                <w:szCs w:val="21"/>
              </w:rPr>
              <w:t>符合</w:t>
            </w:r>
            <w:r>
              <w:rPr>
                <w:rFonts w:hint="eastAsia" w:ascii="Times New Roman" w:hAnsi="Times New Roman" w:eastAsia="宋体" w:cs="Times New Roman"/>
                <w:szCs w:val="21"/>
              </w:rPr>
              <w:t>相关规划和土地性质要求。</w:t>
            </w:r>
          </w:p>
        </w:tc>
        <w:tc>
          <w:tcPr>
            <w:tcW w:w="3260" w:type="dxa"/>
            <w:vAlign w:val="center"/>
          </w:tcPr>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项目于201</w:t>
            </w:r>
            <w:r>
              <w:rPr>
                <w:rFonts w:ascii="Times New Roman" w:hAnsi="Times New Roman" w:eastAsia="宋体" w:cs="Times New Roman"/>
                <w:szCs w:val="21"/>
              </w:rPr>
              <w:t>7</w:t>
            </w:r>
            <w:r>
              <w:rPr>
                <w:rFonts w:hint="eastAsia" w:ascii="Times New Roman" w:hAnsi="Times New Roman" w:eastAsia="宋体" w:cs="Times New Roman"/>
                <w:szCs w:val="21"/>
              </w:rPr>
              <w:t>年</w:t>
            </w:r>
            <w:r>
              <w:rPr>
                <w:rFonts w:ascii="Times New Roman" w:hAnsi="Times New Roman" w:eastAsia="宋体" w:cs="Times New Roman"/>
                <w:szCs w:val="21"/>
              </w:rPr>
              <w:t>12</w:t>
            </w:r>
            <w:r>
              <w:rPr>
                <w:rFonts w:hint="eastAsia" w:ascii="Times New Roman" w:hAnsi="Times New Roman" w:eastAsia="宋体" w:cs="Times New Roman"/>
                <w:szCs w:val="21"/>
              </w:rPr>
              <w:t>月</w:t>
            </w:r>
            <w:r>
              <w:rPr>
                <w:rFonts w:ascii="Times New Roman" w:hAnsi="Times New Roman" w:eastAsia="宋体" w:cs="Times New Roman"/>
                <w:szCs w:val="21"/>
              </w:rPr>
              <w:t>26</w:t>
            </w:r>
            <w:r>
              <w:rPr>
                <w:rFonts w:hint="eastAsia" w:ascii="Times New Roman" w:hAnsi="Times New Roman" w:eastAsia="宋体" w:cs="Times New Roman"/>
                <w:szCs w:val="21"/>
              </w:rPr>
              <w:t>日在濮阳市经济技术开发区经济发展局备案，备案号：2</w:t>
            </w:r>
            <w:r>
              <w:rPr>
                <w:rFonts w:ascii="Times New Roman" w:hAnsi="Times New Roman" w:eastAsia="宋体" w:cs="Times New Roman"/>
                <w:szCs w:val="21"/>
              </w:rPr>
              <w:t>017-410952-42-03-045423</w:t>
            </w:r>
            <w:r>
              <w:rPr>
                <w:rFonts w:hint="eastAsia" w:ascii="Times New Roman" w:hAnsi="Times New Roman" w:eastAsia="宋体" w:cs="Times New Roman"/>
                <w:szCs w:val="21"/>
              </w:rPr>
              <w:t>。</w:t>
            </w:r>
            <w:r>
              <w:rPr>
                <w:rFonts w:ascii="Times New Roman" w:hAnsi="Times New Roman" w:eastAsia="宋体" w:cs="Times New Roman"/>
                <w:szCs w:val="21"/>
              </w:rPr>
              <w:t>项目</w:t>
            </w:r>
            <w:r>
              <w:rPr>
                <w:rFonts w:hint="eastAsia" w:ascii="Times New Roman" w:hAnsi="Times New Roman" w:eastAsia="宋体" w:cs="Times New Roman"/>
                <w:szCs w:val="21"/>
              </w:rPr>
              <w:t>位于濮阳经济技术产业集聚区，根据《</w:t>
            </w:r>
            <w:r>
              <w:rPr>
                <w:rFonts w:ascii="Times New Roman" w:hAnsi="Times New Roman" w:eastAsia="宋体" w:cs="Times New Roman"/>
                <w:szCs w:val="21"/>
              </w:rPr>
              <w:t>濮阳经济技术产业集聚区发展规划</w:t>
            </w:r>
            <w:r>
              <w:rPr>
                <w:rFonts w:hint="eastAsia" w:ascii="Times New Roman" w:hAnsi="Times New Roman" w:eastAsia="宋体" w:cs="Times New Roman"/>
                <w:szCs w:val="21"/>
              </w:rPr>
              <w:t>》</w:t>
            </w:r>
            <w:r>
              <w:rPr>
                <w:rFonts w:ascii="Times New Roman" w:hAnsi="Times New Roman" w:eastAsia="宋体" w:cs="Times New Roman"/>
                <w:szCs w:val="21"/>
              </w:rPr>
              <w:t>（2012-2020年）</w:t>
            </w:r>
            <w:r>
              <w:rPr>
                <w:rFonts w:hint="eastAsia" w:ascii="Times New Roman" w:hAnsi="Times New Roman" w:eastAsia="宋体" w:cs="Times New Roman"/>
                <w:szCs w:val="21"/>
              </w:rPr>
              <w:t>及调整方案，项目用地属三类工业用地，</w:t>
            </w:r>
            <w:r>
              <w:rPr>
                <w:rFonts w:ascii="Times New Roman" w:hAnsi="Times New Roman" w:eastAsia="宋体" w:cs="Times New Roman"/>
                <w:szCs w:val="21"/>
              </w:rPr>
              <w:t>符合</w:t>
            </w:r>
            <w:r>
              <w:rPr>
                <w:rFonts w:hint="eastAsia" w:ascii="Times New Roman" w:hAnsi="Times New Roman" w:eastAsia="宋体" w:cs="Times New Roman"/>
                <w:szCs w:val="21"/>
              </w:rPr>
              <w:t>相关规划和土地性质要求。</w:t>
            </w:r>
          </w:p>
        </w:tc>
        <w:tc>
          <w:tcPr>
            <w:tcW w:w="64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vAlign w:val="center"/>
          </w:tcPr>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三、</w:t>
            </w:r>
            <w:r>
              <w:rPr>
                <w:rFonts w:ascii="Times New Roman" w:hAnsi="Times New Roman" w:eastAsia="宋体" w:cs="Times New Roman"/>
                <w:szCs w:val="21"/>
              </w:rPr>
              <w:t>原则</w:t>
            </w:r>
            <w:r>
              <w:rPr>
                <w:rFonts w:hint="eastAsia" w:ascii="Times New Roman" w:hAnsi="Times New Roman" w:eastAsia="宋体" w:cs="Times New Roman"/>
                <w:szCs w:val="21"/>
              </w:rPr>
              <w:t>同意本项目环境影响报告书的编制，同意本项目在拟选地址开工建设。</w:t>
            </w:r>
          </w:p>
        </w:tc>
        <w:tc>
          <w:tcPr>
            <w:tcW w:w="3260" w:type="dxa"/>
            <w:vAlign w:val="center"/>
          </w:tcPr>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项目已在拟选地址施工建设，</w:t>
            </w:r>
            <w:r>
              <w:rPr>
                <w:rFonts w:ascii="Times New Roman" w:hAnsi="Times New Roman" w:eastAsia="宋体" w:cs="Times New Roman"/>
                <w:szCs w:val="21"/>
              </w:rPr>
              <w:t>目前</w:t>
            </w:r>
            <w:r>
              <w:rPr>
                <w:rFonts w:hint="eastAsia" w:ascii="Times New Roman" w:hAnsi="Times New Roman" w:eastAsia="宋体" w:cs="Times New Roman"/>
                <w:szCs w:val="21"/>
              </w:rPr>
              <w:t>正处于设备安装阶段。</w:t>
            </w:r>
          </w:p>
        </w:tc>
        <w:tc>
          <w:tcPr>
            <w:tcW w:w="64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vAlign w:val="center"/>
          </w:tcPr>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四、</w:t>
            </w:r>
            <w:r>
              <w:rPr>
                <w:rFonts w:ascii="Times New Roman" w:hAnsi="Times New Roman" w:eastAsia="宋体" w:cs="Times New Roman"/>
                <w:szCs w:val="21"/>
              </w:rPr>
              <w:t>建设</w:t>
            </w:r>
            <w:r>
              <w:rPr>
                <w:rFonts w:hint="eastAsia" w:ascii="Times New Roman" w:hAnsi="Times New Roman" w:eastAsia="宋体" w:cs="Times New Roman"/>
                <w:szCs w:val="21"/>
              </w:rPr>
              <w:t>期间，</w:t>
            </w:r>
            <w:r>
              <w:rPr>
                <w:rFonts w:ascii="Times New Roman" w:hAnsi="Times New Roman" w:eastAsia="宋体" w:cs="Times New Roman"/>
                <w:szCs w:val="21"/>
              </w:rPr>
              <w:t>你公司</w:t>
            </w:r>
            <w:r>
              <w:rPr>
                <w:rFonts w:hint="eastAsia" w:ascii="Times New Roman" w:hAnsi="Times New Roman" w:eastAsia="宋体" w:cs="Times New Roman"/>
                <w:szCs w:val="21"/>
              </w:rPr>
              <w:t>需做好以下工作：</w:t>
            </w:r>
          </w:p>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w:t>
            </w:r>
            <w:r>
              <w:rPr>
                <w:rFonts w:hint="eastAsia" w:ascii="Times New Roman" w:hAnsi="Times New Roman" w:eastAsia="宋体" w:cs="Times New Roman"/>
                <w:szCs w:val="21"/>
              </w:rPr>
              <w:t>施工场地采取设置围挡、</w:t>
            </w:r>
            <w:r>
              <w:rPr>
                <w:rFonts w:ascii="Times New Roman" w:hAnsi="Times New Roman" w:eastAsia="宋体" w:cs="Times New Roman"/>
                <w:szCs w:val="21"/>
              </w:rPr>
              <w:t>洒水</w:t>
            </w:r>
            <w:r>
              <w:rPr>
                <w:rFonts w:hint="eastAsia" w:ascii="Times New Roman" w:hAnsi="Times New Roman" w:eastAsia="宋体" w:cs="Times New Roman"/>
                <w:szCs w:val="21"/>
              </w:rPr>
              <w:t>抑尘、</w:t>
            </w:r>
            <w:r>
              <w:rPr>
                <w:rFonts w:ascii="Times New Roman" w:hAnsi="Times New Roman" w:eastAsia="宋体" w:cs="Times New Roman"/>
                <w:szCs w:val="21"/>
              </w:rPr>
              <w:t>覆盖</w:t>
            </w:r>
            <w:r>
              <w:rPr>
                <w:rFonts w:hint="eastAsia" w:ascii="Times New Roman" w:hAnsi="Times New Roman" w:eastAsia="宋体" w:cs="Times New Roman"/>
                <w:szCs w:val="21"/>
              </w:rPr>
              <w:t>露天堆放物料等措施，</w:t>
            </w:r>
            <w:r>
              <w:rPr>
                <w:rFonts w:ascii="Times New Roman" w:hAnsi="Times New Roman" w:eastAsia="宋体" w:cs="Times New Roman"/>
                <w:szCs w:val="21"/>
              </w:rPr>
              <w:t>减少施工期大气污染物对周围环境的影响。</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2</w:t>
            </w:r>
            <w:r>
              <w:rPr>
                <w:rFonts w:ascii="Times New Roman" w:hAnsi="Times New Roman" w:eastAsia="宋体" w:cs="Times New Roman"/>
                <w:szCs w:val="21"/>
              </w:rPr>
              <w:t>）合理统筹施工工序，减少施工时间。</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3）加强施工现场管理、</w:t>
            </w:r>
            <w:r>
              <w:rPr>
                <w:rFonts w:ascii="Times New Roman" w:hAnsi="Times New Roman" w:eastAsia="宋体" w:cs="Times New Roman"/>
                <w:szCs w:val="21"/>
              </w:rPr>
              <w:t>选用</w:t>
            </w:r>
            <w:r>
              <w:rPr>
                <w:rFonts w:hint="eastAsia" w:ascii="Times New Roman" w:hAnsi="Times New Roman" w:eastAsia="宋体" w:cs="Times New Roman"/>
                <w:szCs w:val="21"/>
              </w:rPr>
              <w:t>低噪声设备、</w:t>
            </w:r>
            <w:r>
              <w:rPr>
                <w:rFonts w:ascii="Times New Roman" w:hAnsi="Times New Roman" w:eastAsia="宋体" w:cs="Times New Roman"/>
                <w:szCs w:val="21"/>
              </w:rPr>
              <w:t>控制</w:t>
            </w:r>
            <w:r>
              <w:rPr>
                <w:rFonts w:hint="eastAsia" w:ascii="Times New Roman" w:hAnsi="Times New Roman" w:eastAsia="宋体" w:cs="Times New Roman"/>
                <w:szCs w:val="21"/>
              </w:rPr>
              <w:t>施工时间，</w:t>
            </w:r>
            <w:r>
              <w:rPr>
                <w:rFonts w:ascii="Times New Roman" w:hAnsi="Times New Roman" w:eastAsia="宋体" w:cs="Times New Roman"/>
                <w:szCs w:val="21"/>
              </w:rPr>
              <w:t>确保</w:t>
            </w:r>
            <w:r>
              <w:rPr>
                <w:rFonts w:hint="eastAsia" w:ascii="Times New Roman" w:hAnsi="Times New Roman" w:eastAsia="宋体" w:cs="Times New Roman"/>
                <w:szCs w:val="21"/>
              </w:rPr>
              <w:t>施工期间能够达到《建筑施工场界环境噪声排放标准</w:t>
            </w:r>
            <w:r>
              <w:rPr>
                <w:rFonts w:ascii="Times New Roman" w:hAnsi="Times New Roman" w:eastAsia="宋体" w:cs="Times New Roman"/>
                <w:szCs w:val="21"/>
              </w:rPr>
              <w:t>》（GB12523－2011</w:t>
            </w:r>
            <w:r>
              <w:rPr>
                <w:rFonts w:hint="eastAsia" w:ascii="Times New Roman" w:hAnsi="Times New Roman" w:eastAsia="宋体" w:cs="Times New Roman"/>
                <w:szCs w:val="21"/>
              </w:rPr>
              <w:t>）要求。</w:t>
            </w:r>
          </w:p>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w:t>
            </w:r>
            <w:r>
              <w:rPr>
                <w:rFonts w:hint="eastAsia" w:ascii="Times New Roman" w:hAnsi="Times New Roman" w:eastAsia="宋体" w:cs="Times New Roman"/>
                <w:szCs w:val="21"/>
              </w:rPr>
              <w:t>施工弃土及建筑垃圾集中堆放，</w:t>
            </w:r>
            <w:r>
              <w:rPr>
                <w:rFonts w:ascii="Times New Roman" w:hAnsi="Times New Roman" w:eastAsia="宋体" w:cs="Times New Roman"/>
                <w:szCs w:val="21"/>
              </w:rPr>
              <w:t>外运</w:t>
            </w:r>
            <w:r>
              <w:rPr>
                <w:rFonts w:hint="eastAsia" w:ascii="Times New Roman" w:hAnsi="Times New Roman" w:eastAsia="宋体" w:cs="Times New Roman"/>
                <w:szCs w:val="21"/>
              </w:rPr>
              <w:t>时采用苫布覆盖，</w:t>
            </w:r>
            <w:r>
              <w:rPr>
                <w:rFonts w:ascii="Times New Roman" w:hAnsi="Times New Roman" w:eastAsia="宋体" w:cs="Times New Roman"/>
                <w:szCs w:val="21"/>
              </w:rPr>
              <w:t>定期</w:t>
            </w:r>
            <w:r>
              <w:rPr>
                <w:rFonts w:hint="eastAsia" w:ascii="Times New Roman" w:hAnsi="Times New Roman" w:eastAsia="宋体" w:cs="Times New Roman"/>
                <w:szCs w:val="21"/>
              </w:rPr>
              <w:t>清运到城市建设监管部门指定的地点。</w:t>
            </w:r>
            <w:r>
              <w:rPr>
                <w:rFonts w:ascii="Times New Roman" w:hAnsi="Times New Roman" w:eastAsia="宋体" w:cs="Times New Roman"/>
                <w:szCs w:val="21"/>
              </w:rPr>
              <w:t>生活垃圾</w:t>
            </w:r>
            <w:r>
              <w:rPr>
                <w:rFonts w:hint="eastAsia" w:ascii="Times New Roman" w:hAnsi="Times New Roman" w:eastAsia="宋体" w:cs="Times New Roman"/>
                <w:szCs w:val="21"/>
              </w:rPr>
              <w:t>定期由市政环卫部门清运。</w:t>
            </w:r>
          </w:p>
        </w:tc>
        <w:tc>
          <w:tcPr>
            <w:tcW w:w="3260" w:type="dxa"/>
            <w:vAlign w:val="center"/>
          </w:tcPr>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项目建设期间，</w:t>
            </w:r>
            <w:r>
              <w:rPr>
                <w:rFonts w:ascii="Times New Roman" w:hAnsi="Times New Roman" w:eastAsia="宋体" w:cs="Times New Roman"/>
                <w:szCs w:val="21"/>
              </w:rPr>
              <w:t>严格</w:t>
            </w:r>
            <w:r>
              <w:rPr>
                <w:rFonts w:hint="eastAsia" w:ascii="Times New Roman" w:hAnsi="Times New Roman" w:eastAsia="宋体" w:cs="Times New Roman"/>
                <w:szCs w:val="21"/>
              </w:rPr>
              <w:t>落实环评中提出的各项环保措施：</w:t>
            </w:r>
          </w:p>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w:t>
            </w:r>
            <w:r>
              <w:rPr>
                <w:rFonts w:hint="eastAsia" w:ascii="Times New Roman" w:hAnsi="Times New Roman" w:eastAsia="宋体" w:cs="Times New Roman"/>
                <w:szCs w:val="21"/>
              </w:rPr>
              <w:t>施工场地设置有围挡、</w:t>
            </w:r>
            <w:r>
              <w:rPr>
                <w:rFonts w:hint="eastAsia" w:ascii="Times New Roman" w:hAnsi="Times New Roman" w:eastAsia="宋体" w:cs="Times New Roman"/>
                <w:szCs w:val="24"/>
              </w:rPr>
              <w:t>围挡上有喷淋装置、</w:t>
            </w:r>
            <w:r>
              <w:rPr>
                <w:rFonts w:ascii="Times New Roman" w:hAnsi="Times New Roman" w:eastAsia="宋体" w:cs="Times New Roman"/>
                <w:szCs w:val="21"/>
              </w:rPr>
              <w:t>物料</w:t>
            </w:r>
            <w:r>
              <w:rPr>
                <w:rFonts w:hint="eastAsia" w:ascii="Times New Roman" w:hAnsi="Times New Roman" w:eastAsia="宋体" w:cs="Times New Roman"/>
                <w:szCs w:val="21"/>
              </w:rPr>
              <w:t>堆放严密覆盖、车辆出入口设置有自动冲洗装置。</w:t>
            </w:r>
          </w:p>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w:t>
            </w:r>
            <w:r>
              <w:rPr>
                <w:rFonts w:hint="eastAsia" w:ascii="Times New Roman" w:hAnsi="Times New Roman" w:eastAsia="宋体" w:cs="Times New Roman"/>
                <w:szCs w:val="24"/>
              </w:rPr>
              <w:t>采用科学的施工方法，严格控制施工作业范围和作业时间。</w:t>
            </w:r>
          </w:p>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w:t>
            </w:r>
            <w:r>
              <w:rPr>
                <w:rFonts w:hint="eastAsia" w:ascii="Times New Roman" w:hAnsi="Times New Roman" w:eastAsia="宋体" w:cs="Times New Roman"/>
                <w:szCs w:val="21"/>
              </w:rPr>
              <w:t>尽量选用低噪声设备，给高噪声设备安装隔声罩，打桩机、推土机等强噪声源设备的操作人员配戴防护用具。</w:t>
            </w:r>
          </w:p>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w:t>
            </w:r>
            <w:r>
              <w:rPr>
                <w:rFonts w:hint="eastAsia" w:ascii="Times New Roman" w:hAnsi="Times New Roman" w:eastAsia="宋体" w:cs="Times New Roman"/>
                <w:szCs w:val="21"/>
              </w:rPr>
              <w:t>施工弃土及建筑垃圾</w:t>
            </w:r>
            <w:r>
              <w:rPr>
                <w:rFonts w:hint="eastAsia" w:ascii="Times New Roman" w:hAnsi="Times New Roman" w:eastAsia="宋体" w:cs="Times New Roman"/>
                <w:szCs w:val="24"/>
              </w:rPr>
              <w:t>集中、分类堆放，严密遮盖，</w:t>
            </w:r>
            <w:r>
              <w:rPr>
                <w:rFonts w:ascii="Times New Roman" w:hAnsi="Times New Roman" w:eastAsia="宋体" w:cs="Times New Roman"/>
                <w:szCs w:val="21"/>
              </w:rPr>
              <w:t>定期</w:t>
            </w:r>
            <w:r>
              <w:rPr>
                <w:rFonts w:hint="eastAsia" w:ascii="Times New Roman" w:hAnsi="Times New Roman" w:eastAsia="宋体" w:cs="Times New Roman"/>
                <w:szCs w:val="21"/>
              </w:rPr>
              <w:t>清运到城市建设监管部门指定的地点。</w:t>
            </w:r>
            <w:r>
              <w:rPr>
                <w:rFonts w:ascii="Times New Roman" w:hAnsi="Times New Roman" w:eastAsia="宋体" w:cs="Times New Roman"/>
                <w:szCs w:val="21"/>
              </w:rPr>
              <w:t>生活垃圾</w:t>
            </w:r>
            <w:r>
              <w:rPr>
                <w:rFonts w:hint="eastAsia" w:ascii="Times New Roman" w:hAnsi="Times New Roman" w:eastAsia="宋体" w:cs="Times New Roman"/>
                <w:szCs w:val="21"/>
              </w:rPr>
              <w:t>定期由市政环卫部门清运。</w:t>
            </w:r>
          </w:p>
        </w:tc>
        <w:tc>
          <w:tcPr>
            <w:tcW w:w="64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vAlign w:val="center"/>
          </w:tcPr>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五、</w:t>
            </w:r>
            <w:r>
              <w:rPr>
                <w:rFonts w:ascii="Times New Roman" w:hAnsi="Times New Roman" w:eastAsia="宋体" w:cs="Times New Roman"/>
                <w:szCs w:val="21"/>
              </w:rPr>
              <w:t>项目</w:t>
            </w:r>
            <w:r>
              <w:rPr>
                <w:rFonts w:hint="eastAsia" w:ascii="Times New Roman" w:hAnsi="Times New Roman" w:eastAsia="宋体" w:cs="Times New Roman"/>
                <w:szCs w:val="21"/>
              </w:rPr>
              <w:t>建设期间，</w:t>
            </w:r>
            <w:r>
              <w:rPr>
                <w:rFonts w:ascii="Times New Roman" w:hAnsi="Times New Roman" w:eastAsia="宋体" w:cs="Times New Roman"/>
                <w:szCs w:val="21"/>
              </w:rPr>
              <w:t>必须</w:t>
            </w:r>
            <w:r>
              <w:rPr>
                <w:rFonts w:hint="eastAsia" w:ascii="Times New Roman" w:hAnsi="Times New Roman" w:eastAsia="宋体" w:cs="Times New Roman"/>
                <w:szCs w:val="21"/>
              </w:rPr>
              <w:t>严格执行环保“三同时”</w:t>
            </w:r>
            <w:r>
              <w:rPr>
                <w:rFonts w:ascii="Times New Roman" w:hAnsi="Times New Roman" w:eastAsia="宋体" w:cs="Times New Roman"/>
                <w:szCs w:val="21"/>
              </w:rPr>
              <w:t>制度</w:t>
            </w:r>
            <w:r>
              <w:rPr>
                <w:rFonts w:hint="eastAsia" w:ascii="Times New Roman" w:hAnsi="Times New Roman" w:eastAsia="宋体" w:cs="Times New Roman"/>
                <w:szCs w:val="21"/>
              </w:rPr>
              <w:t>，</w:t>
            </w:r>
            <w:r>
              <w:rPr>
                <w:rFonts w:ascii="Times New Roman" w:hAnsi="Times New Roman" w:eastAsia="宋体" w:cs="Times New Roman"/>
                <w:szCs w:val="21"/>
              </w:rPr>
              <w:t>按</w:t>
            </w:r>
            <w:r>
              <w:rPr>
                <w:rFonts w:hint="eastAsia" w:ascii="Times New Roman" w:hAnsi="Times New Roman" w:eastAsia="宋体" w:cs="Times New Roman"/>
                <w:szCs w:val="21"/>
              </w:rPr>
              <w:t>要求落实环评报告书及环评批复中提出的各项污染防治措施和管理要求。</w:t>
            </w:r>
            <w:r>
              <w:rPr>
                <w:rFonts w:ascii="Times New Roman" w:hAnsi="Times New Roman" w:eastAsia="宋体" w:cs="Times New Roman"/>
                <w:szCs w:val="21"/>
              </w:rPr>
              <w:t>项目</w:t>
            </w:r>
            <w:r>
              <w:rPr>
                <w:rFonts w:hint="eastAsia" w:ascii="Times New Roman" w:hAnsi="Times New Roman" w:eastAsia="宋体" w:cs="Times New Roman"/>
                <w:szCs w:val="21"/>
              </w:rPr>
              <w:t>建成后，</w:t>
            </w:r>
            <w:r>
              <w:rPr>
                <w:rFonts w:ascii="Times New Roman" w:hAnsi="Times New Roman" w:eastAsia="宋体" w:cs="Times New Roman"/>
                <w:szCs w:val="21"/>
              </w:rPr>
              <w:t>按照</w:t>
            </w:r>
            <w:r>
              <w:rPr>
                <w:rFonts w:hint="eastAsia" w:ascii="Times New Roman" w:hAnsi="Times New Roman" w:eastAsia="宋体" w:cs="Times New Roman"/>
                <w:szCs w:val="21"/>
              </w:rPr>
              <w:t>相关法律法规要求，</w:t>
            </w:r>
            <w:r>
              <w:rPr>
                <w:rFonts w:ascii="Times New Roman" w:hAnsi="Times New Roman" w:eastAsia="宋体" w:cs="Times New Roman"/>
                <w:szCs w:val="21"/>
              </w:rPr>
              <w:t>尽快</w:t>
            </w:r>
            <w:r>
              <w:rPr>
                <w:rFonts w:hint="eastAsia" w:ascii="Times New Roman" w:hAnsi="Times New Roman" w:eastAsia="宋体" w:cs="Times New Roman"/>
                <w:szCs w:val="21"/>
              </w:rPr>
              <w:t>自主完成本项目竣工环保验收工作，</w:t>
            </w:r>
            <w:r>
              <w:rPr>
                <w:rFonts w:ascii="Times New Roman" w:hAnsi="Times New Roman" w:eastAsia="宋体" w:cs="Times New Roman"/>
                <w:szCs w:val="21"/>
              </w:rPr>
              <w:t>并</w:t>
            </w:r>
            <w:r>
              <w:rPr>
                <w:rFonts w:hint="eastAsia" w:ascii="Times New Roman" w:hAnsi="Times New Roman" w:eastAsia="宋体" w:cs="Times New Roman"/>
                <w:szCs w:val="21"/>
              </w:rPr>
              <w:t>依法向社会公开验收报告。</w:t>
            </w:r>
          </w:p>
        </w:tc>
        <w:tc>
          <w:tcPr>
            <w:tcW w:w="3260" w:type="dxa"/>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项目</w:t>
            </w:r>
            <w:r>
              <w:rPr>
                <w:rFonts w:hint="eastAsia" w:ascii="Times New Roman" w:hAnsi="Times New Roman" w:eastAsia="宋体" w:cs="Times New Roman"/>
                <w:szCs w:val="21"/>
              </w:rPr>
              <w:t>建设期间，严格执行环保“三同时”</w:t>
            </w:r>
            <w:r>
              <w:rPr>
                <w:rFonts w:ascii="Times New Roman" w:hAnsi="Times New Roman" w:eastAsia="宋体" w:cs="Times New Roman"/>
                <w:szCs w:val="21"/>
              </w:rPr>
              <w:t>制度</w:t>
            </w:r>
            <w:r>
              <w:rPr>
                <w:rFonts w:hint="eastAsia" w:ascii="Times New Roman" w:hAnsi="Times New Roman" w:eastAsia="宋体" w:cs="Times New Roman"/>
                <w:szCs w:val="21"/>
              </w:rPr>
              <w:t>，</w:t>
            </w:r>
            <w:r>
              <w:rPr>
                <w:rFonts w:ascii="Times New Roman" w:hAnsi="Times New Roman" w:eastAsia="宋体" w:cs="Times New Roman"/>
                <w:szCs w:val="21"/>
              </w:rPr>
              <w:t>按</w:t>
            </w:r>
            <w:r>
              <w:rPr>
                <w:rFonts w:hint="eastAsia" w:ascii="Times New Roman" w:hAnsi="Times New Roman" w:eastAsia="宋体" w:cs="Times New Roman"/>
                <w:szCs w:val="21"/>
              </w:rPr>
              <w:t>要求落实环评报告书及环评批复中提出的各项污染防治措施和管理要求。</w:t>
            </w:r>
            <w:r>
              <w:rPr>
                <w:rFonts w:ascii="Times New Roman" w:hAnsi="Times New Roman" w:eastAsia="宋体" w:cs="Times New Roman"/>
                <w:szCs w:val="21"/>
              </w:rPr>
              <w:t>项目</w:t>
            </w:r>
            <w:r>
              <w:rPr>
                <w:rFonts w:hint="eastAsia" w:ascii="Times New Roman" w:hAnsi="Times New Roman" w:eastAsia="宋体" w:cs="Times New Roman"/>
                <w:szCs w:val="21"/>
              </w:rPr>
              <w:t>建成后，建设单位将</w:t>
            </w:r>
            <w:r>
              <w:rPr>
                <w:rFonts w:ascii="Times New Roman" w:hAnsi="Times New Roman" w:eastAsia="宋体" w:cs="Times New Roman"/>
                <w:szCs w:val="21"/>
              </w:rPr>
              <w:t>按照</w:t>
            </w:r>
            <w:r>
              <w:rPr>
                <w:rFonts w:hint="eastAsia" w:ascii="Times New Roman" w:hAnsi="Times New Roman" w:eastAsia="宋体" w:cs="Times New Roman"/>
                <w:szCs w:val="21"/>
              </w:rPr>
              <w:t>相关法律法规要求，</w:t>
            </w:r>
            <w:r>
              <w:rPr>
                <w:rFonts w:ascii="Times New Roman" w:hAnsi="Times New Roman" w:eastAsia="宋体" w:cs="Times New Roman"/>
                <w:szCs w:val="21"/>
              </w:rPr>
              <w:t>尽快</w:t>
            </w:r>
            <w:r>
              <w:rPr>
                <w:rFonts w:hint="eastAsia" w:ascii="Times New Roman" w:hAnsi="Times New Roman" w:eastAsia="宋体" w:cs="Times New Roman"/>
                <w:szCs w:val="21"/>
              </w:rPr>
              <w:t>自主完成本项目竣工环保验收工作，</w:t>
            </w:r>
            <w:r>
              <w:rPr>
                <w:rFonts w:ascii="Times New Roman" w:hAnsi="Times New Roman" w:eastAsia="宋体" w:cs="Times New Roman"/>
                <w:szCs w:val="21"/>
              </w:rPr>
              <w:t>并</w:t>
            </w:r>
            <w:r>
              <w:rPr>
                <w:rFonts w:hint="eastAsia" w:ascii="Times New Roman" w:hAnsi="Times New Roman" w:eastAsia="宋体" w:cs="Times New Roman"/>
                <w:szCs w:val="21"/>
              </w:rPr>
              <w:t>依法向社会公开验收报告。</w:t>
            </w:r>
          </w:p>
        </w:tc>
        <w:tc>
          <w:tcPr>
            <w:tcW w:w="64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vAlign w:val="center"/>
          </w:tcPr>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六、</w:t>
            </w:r>
            <w:r>
              <w:rPr>
                <w:rFonts w:ascii="Times New Roman" w:hAnsi="Times New Roman" w:eastAsia="宋体" w:cs="Times New Roman"/>
                <w:szCs w:val="21"/>
              </w:rPr>
              <w:t>项目</w:t>
            </w:r>
            <w:r>
              <w:rPr>
                <w:rFonts w:hint="eastAsia" w:ascii="Times New Roman" w:hAnsi="Times New Roman" w:eastAsia="宋体" w:cs="Times New Roman"/>
                <w:szCs w:val="21"/>
              </w:rPr>
              <w:t>通过竣工环保验收投入运行后，</w:t>
            </w:r>
            <w:r>
              <w:rPr>
                <w:rFonts w:ascii="Times New Roman" w:hAnsi="Times New Roman" w:eastAsia="宋体" w:cs="Times New Roman"/>
                <w:szCs w:val="21"/>
              </w:rPr>
              <w:t>你公司</w:t>
            </w:r>
            <w:r>
              <w:rPr>
                <w:rFonts w:hint="eastAsia" w:ascii="Times New Roman" w:hAnsi="Times New Roman" w:eastAsia="宋体" w:cs="Times New Roman"/>
                <w:szCs w:val="21"/>
              </w:rPr>
              <w:t>须做好以下工作：</w:t>
            </w:r>
          </w:p>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w:t>
            </w:r>
            <w:r>
              <w:rPr>
                <w:rFonts w:hint="eastAsia" w:ascii="Times New Roman" w:hAnsi="Times New Roman" w:eastAsia="宋体" w:cs="Times New Roman"/>
                <w:szCs w:val="21"/>
              </w:rPr>
              <w:t>废水。</w:t>
            </w:r>
            <w:r>
              <w:rPr>
                <w:rFonts w:ascii="Times New Roman" w:hAnsi="Times New Roman" w:eastAsia="宋体" w:cs="Times New Roman"/>
                <w:szCs w:val="21"/>
              </w:rPr>
              <w:t>主要</w:t>
            </w:r>
            <w:r>
              <w:rPr>
                <w:rFonts w:hint="eastAsia" w:ascii="Times New Roman" w:hAnsi="Times New Roman" w:eastAsia="宋体" w:cs="Times New Roman"/>
                <w:szCs w:val="21"/>
              </w:rPr>
              <w:t>为工艺废水、</w:t>
            </w:r>
            <w:r>
              <w:rPr>
                <w:rFonts w:ascii="Times New Roman" w:hAnsi="Times New Roman" w:eastAsia="宋体" w:cs="Times New Roman"/>
                <w:szCs w:val="21"/>
              </w:rPr>
              <w:t>地面</w:t>
            </w:r>
            <w:r>
              <w:rPr>
                <w:rFonts w:hint="eastAsia" w:ascii="Times New Roman" w:hAnsi="Times New Roman" w:eastAsia="宋体" w:cs="Times New Roman"/>
                <w:szCs w:val="21"/>
              </w:rPr>
              <w:t>冲洗废水、</w:t>
            </w:r>
            <w:r>
              <w:rPr>
                <w:rFonts w:ascii="Times New Roman" w:hAnsi="Times New Roman" w:eastAsia="宋体" w:cs="Times New Roman"/>
                <w:szCs w:val="21"/>
              </w:rPr>
              <w:t>初期</w:t>
            </w:r>
            <w:r>
              <w:rPr>
                <w:rFonts w:hint="eastAsia" w:ascii="Times New Roman" w:hAnsi="Times New Roman" w:eastAsia="宋体" w:cs="Times New Roman"/>
                <w:szCs w:val="21"/>
              </w:rPr>
              <w:t>雨水、</w:t>
            </w:r>
            <w:r>
              <w:rPr>
                <w:rFonts w:ascii="Times New Roman" w:hAnsi="Times New Roman" w:eastAsia="宋体" w:cs="Times New Roman"/>
                <w:szCs w:val="21"/>
              </w:rPr>
              <w:t>生活</w:t>
            </w:r>
            <w:r>
              <w:rPr>
                <w:rFonts w:hint="eastAsia" w:ascii="Times New Roman" w:hAnsi="Times New Roman" w:eastAsia="宋体" w:cs="Times New Roman"/>
                <w:szCs w:val="21"/>
              </w:rPr>
              <w:t>废水等。</w:t>
            </w:r>
            <w:r>
              <w:rPr>
                <w:rFonts w:ascii="Times New Roman" w:hAnsi="Times New Roman" w:eastAsia="宋体" w:cs="Times New Roman"/>
                <w:szCs w:val="21"/>
              </w:rPr>
              <w:t>废水</w:t>
            </w:r>
            <w:r>
              <w:rPr>
                <w:rFonts w:hint="eastAsia" w:ascii="Times New Roman" w:hAnsi="Times New Roman" w:eastAsia="宋体" w:cs="Times New Roman"/>
                <w:szCs w:val="21"/>
              </w:rPr>
              <w:t>集中收集后，</w:t>
            </w:r>
            <w:r>
              <w:rPr>
                <w:rFonts w:ascii="Times New Roman" w:hAnsi="Times New Roman" w:eastAsia="宋体" w:cs="Times New Roman"/>
                <w:szCs w:val="21"/>
              </w:rPr>
              <w:t>采取</w:t>
            </w:r>
            <w:r>
              <w:rPr>
                <w:rFonts w:hint="eastAsia" w:ascii="Times New Roman" w:hAnsi="Times New Roman" w:eastAsia="宋体" w:cs="Times New Roman"/>
                <w:szCs w:val="21"/>
              </w:rPr>
              <w:t>“</w:t>
            </w:r>
            <w:r>
              <w:rPr>
                <w:rFonts w:ascii="Times New Roman" w:hAnsi="Times New Roman" w:eastAsia="宋体" w:cs="Times New Roman"/>
                <w:szCs w:val="21"/>
              </w:rPr>
              <w:t>隔油</w:t>
            </w:r>
            <w:r>
              <w:rPr>
                <w:rFonts w:hint="eastAsia" w:ascii="Times New Roman" w:hAnsi="Times New Roman" w:eastAsia="宋体" w:cs="Times New Roman"/>
                <w:szCs w:val="21"/>
              </w:rPr>
              <w:t>+油水分离+</w:t>
            </w:r>
            <w:r>
              <w:rPr>
                <w:rFonts w:ascii="Times New Roman" w:hAnsi="Times New Roman" w:eastAsia="宋体" w:cs="Times New Roman"/>
                <w:szCs w:val="21"/>
              </w:rPr>
              <w:t>混凝</w:t>
            </w:r>
            <w:r>
              <w:rPr>
                <w:rFonts w:hint="eastAsia" w:ascii="Times New Roman" w:hAnsi="Times New Roman" w:eastAsia="宋体" w:cs="Times New Roman"/>
                <w:szCs w:val="21"/>
              </w:rPr>
              <w:t>沉淀+</w:t>
            </w:r>
            <w:r>
              <w:rPr>
                <w:rFonts w:ascii="Times New Roman" w:hAnsi="Times New Roman" w:eastAsia="宋体" w:cs="Times New Roman"/>
                <w:szCs w:val="21"/>
              </w:rPr>
              <w:t>气浮</w:t>
            </w:r>
            <w:r>
              <w:rPr>
                <w:rFonts w:hint="eastAsia" w:ascii="Times New Roman" w:hAnsi="Times New Roman" w:eastAsia="宋体" w:cs="Times New Roman"/>
                <w:szCs w:val="21"/>
              </w:rPr>
              <w:t>+高级氧化+</w:t>
            </w:r>
            <w:r>
              <w:rPr>
                <w:rFonts w:ascii="Times New Roman" w:hAnsi="Times New Roman" w:eastAsia="宋体" w:cs="Times New Roman"/>
                <w:szCs w:val="21"/>
              </w:rPr>
              <w:t>水解</w:t>
            </w:r>
            <w:r>
              <w:rPr>
                <w:rFonts w:hint="eastAsia" w:ascii="Times New Roman" w:hAnsi="Times New Roman" w:eastAsia="宋体" w:cs="Times New Roman"/>
                <w:szCs w:val="21"/>
              </w:rPr>
              <w:t>酸化+</w:t>
            </w:r>
            <w:r>
              <w:rPr>
                <w:rFonts w:ascii="Times New Roman" w:hAnsi="Times New Roman" w:eastAsia="宋体" w:cs="Times New Roman"/>
                <w:szCs w:val="21"/>
              </w:rPr>
              <w:t>UASB+A/O+MBR</w:t>
            </w:r>
            <w:r>
              <w:rPr>
                <w:rFonts w:hint="eastAsia" w:ascii="Times New Roman" w:hAnsi="Times New Roman" w:eastAsia="宋体" w:cs="Times New Roman"/>
                <w:szCs w:val="21"/>
              </w:rPr>
              <w:t>”的处理工艺，</w:t>
            </w:r>
            <w:r>
              <w:rPr>
                <w:rFonts w:ascii="Times New Roman" w:hAnsi="Times New Roman" w:eastAsia="宋体" w:cs="Times New Roman"/>
                <w:szCs w:val="21"/>
              </w:rPr>
              <w:t>进入</w:t>
            </w:r>
            <w:r>
              <w:rPr>
                <w:rFonts w:hint="eastAsia" w:ascii="Times New Roman" w:hAnsi="Times New Roman" w:eastAsia="宋体" w:cs="Times New Roman"/>
                <w:szCs w:val="21"/>
              </w:rPr>
              <w:t>厂区污水处理站进行处理，</w:t>
            </w:r>
            <w:r>
              <w:rPr>
                <w:rFonts w:ascii="Times New Roman" w:hAnsi="Times New Roman" w:eastAsia="宋体" w:cs="Times New Roman"/>
                <w:szCs w:val="21"/>
              </w:rPr>
              <w:t>处理</w:t>
            </w:r>
            <w:r>
              <w:rPr>
                <w:rFonts w:hint="eastAsia" w:ascii="Times New Roman" w:hAnsi="Times New Roman" w:eastAsia="宋体" w:cs="Times New Roman"/>
                <w:szCs w:val="21"/>
              </w:rPr>
              <w:t>达标后，</w:t>
            </w:r>
            <w:r>
              <w:rPr>
                <w:rFonts w:ascii="Times New Roman" w:hAnsi="Times New Roman" w:eastAsia="宋体" w:cs="Times New Roman"/>
                <w:szCs w:val="21"/>
              </w:rPr>
              <w:t>排入</w:t>
            </w:r>
            <w:r>
              <w:rPr>
                <w:rFonts w:hint="eastAsia" w:ascii="Times New Roman" w:hAnsi="Times New Roman" w:eastAsia="宋体" w:cs="Times New Roman"/>
                <w:szCs w:val="21"/>
              </w:rPr>
              <w:t>顺河沟，</w:t>
            </w:r>
            <w:r>
              <w:rPr>
                <w:rFonts w:ascii="Times New Roman" w:hAnsi="Times New Roman" w:eastAsia="宋体" w:cs="Times New Roman"/>
                <w:szCs w:val="21"/>
              </w:rPr>
              <w:t>最终</w:t>
            </w:r>
            <w:r>
              <w:rPr>
                <w:rFonts w:hint="eastAsia" w:ascii="Times New Roman" w:hAnsi="Times New Roman" w:eastAsia="宋体" w:cs="Times New Roman"/>
                <w:szCs w:val="21"/>
              </w:rPr>
              <w:t>排入马颊河</w:t>
            </w:r>
            <w:r>
              <w:rPr>
                <w:rFonts w:ascii="Times New Roman" w:hAnsi="Times New Roman" w:eastAsia="宋体" w:cs="Times New Roman"/>
                <w:szCs w:val="21"/>
              </w:rPr>
              <w:t>。</w:t>
            </w:r>
          </w:p>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w:t>
            </w:r>
            <w:r>
              <w:rPr>
                <w:rFonts w:hint="eastAsia" w:ascii="Times New Roman" w:hAnsi="Times New Roman" w:eastAsia="宋体" w:cs="Times New Roman"/>
                <w:szCs w:val="21"/>
              </w:rPr>
              <w:t>废气：</w:t>
            </w:r>
            <w:r>
              <w:rPr>
                <w:rFonts w:ascii="Times New Roman" w:hAnsi="Times New Roman" w:eastAsia="宋体" w:cs="Times New Roman"/>
                <w:szCs w:val="21"/>
              </w:rPr>
              <w:t>主要</w:t>
            </w:r>
            <w:r>
              <w:rPr>
                <w:rFonts w:hint="eastAsia" w:ascii="Times New Roman" w:hAnsi="Times New Roman" w:eastAsia="宋体" w:cs="Times New Roman"/>
                <w:szCs w:val="21"/>
              </w:rPr>
              <w:t>为不凝气废气、</w:t>
            </w:r>
            <w:r>
              <w:rPr>
                <w:rFonts w:ascii="Times New Roman" w:hAnsi="Times New Roman" w:eastAsia="宋体" w:cs="Times New Roman"/>
                <w:szCs w:val="21"/>
              </w:rPr>
              <w:t>减压炉</w:t>
            </w:r>
            <w:r>
              <w:rPr>
                <w:rFonts w:hint="eastAsia" w:ascii="Times New Roman" w:hAnsi="Times New Roman" w:eastAsia="宋体" w:cs="Times New Roman"/>
                <w:szCs w:val="21"/>
              </w:rPr>
              <w:t>废气、</w:t>
            </w:r>
            <w:r>
              <w:rPr>
                <w:rFonts w:ascii="Times New Roman" w:hAnsi="Times New Roman" w:eastAsia="宋体" w:cs="Times New Roman"/>
                <w:szCs w:val="21"/>
              </w:rPr>
              <w:t>熔盐炉</w:t>
            </w:r>
            <w:r>
              <w:rPr>
                <w:rFonts w:hint="eastAsia" w:ascii="Times New Roman" w:hAnsi="Times New Roman" w:eastAsia="宋体" w:cs="Times New Roman"/>
                <w:szCs w:val="21"/>
              </w:rPr>
              <w:t>燃烧废气及储罐大小呼吸废气等。不凝气废气和减压炉废气收集后，</w:t>
            </w:r>
            <w:r>
              <w:rPr>
                <w:rFonts w:ascii="Times New Roman" w:hAnsi="Times New Roman" w:eastAsia="宋体" w:cs="Times New Roman"/>
                <w:szCs w:val="21"/>
              </w:rPr>
              <w:t>通过</w:t>
            </w:r>
            <w:r>
              <w:rPr>
                <w:rFonts w:hint="eastAsia" w:ascii="Times New Roman" w:hAnsi="Times New Roman" w:eastAsia="宋体" w:cs="Times New Roman"/>
                <w:szCs w:val="21"/>
              </w:rPr>
              <w:t>28米高排气筒达标排放；</w:t>
            </w:r>
            <w:r>
              <w:rPr>
                <w:rFonts w:ascii="Times New Roman" w:hAnsi="Times New Roman" w:eastAsia="宋体" w:cs="Times New Roman"/>
                <w:szCs w:val="21"/>
              </w:rPr>
              <w:t>熔盐炉</w:t>
            </w:r>
            <w:r>
              <w:rPr>
                <w:rFonts w:hint="eastAsia" w:ascii="Times New Roman" w:hAnsi="Times New Roman" w:eastAsia="宋体" w:cs="Times New Roman"/>
                <w:szCs w:val="21"/>
              </w:rPr>
              <w:t>燃烧废气经30米高排气筒达标排放。</w:t>
            </w:r>
            <w:r>
              <w:rPr>
                <w:rFonts w:ascii="Times New Roman" w:hAnsi="Times New Roman" w:eastAsia="宋体" w:cs="Times New Roman"/>
                <w:szCs w:val="21"/>
              </w:rPr>
              <w:t>安装</w:t>
            </w:r>
            <w:r>
              <w:rPr>
                <w:rFonts w:hint="eastAsia" w:ascii="Times New Roman" w:hAnsi="Times New Roman" w:eastAsia="宋体" w:cs="Times New Roman"/>
                <w:szCs w:val="21"/>
              </w:rPr>
              <w:t>油气回收装置，</w:t>
            </w:r>
            <w:r>
              <w:rPr>
                <w:rFonts w:ascii="Times New Roman" w:hAnsi="Times New Roman" w:eastAsia="宋体" w:cs="Times New Roman"/>
                <w:szCs w:val="21"/>
              </w:rPr>
              <w:t>部分</w:t>
            </w:r>
            <w:r>
              <w:rPr>
                <w:rFonts w:hint="eastAsia" w:ascii="Times New Roman" w:hAnsi="Times New Roman" w:eastAsia="宋体" w:cs="Times New Roman"/>
                <w:szCs w:val="21"/>
              </w:rPr>
              <w:t>油气经吸附塔吸收后，</w:t>
            </w:r>
            <w:r>
              <w:rPr>
                <w:rFonts w:ascii="Times New Roman" w:hAnsi="Times New Roman" w:eastAsia="宋体" w:cs="Times New Roman"/>
                <w:szCs w:val="21"/>
              </w:rPr>
              <w:t>通过</w:t>
            </w:r>
            <w:r>
              <w:rPr>
                <w:rFonts w:hint="eastAsia" w:ascii="Times New Roman" w:hAnsi="Times New Roman" w:eastAsia="宋体" w:cs="Times New Roman"/>
                <w:szCs w:val="21"/>
              </w:rPr>
              <w:t>15米高排气筒排放。</w:t>
            </w:r>
            <w:r>
              <w:rPr>
                <w:rFonts w:ascii="Times New Roman" w:hAnsi="Times New Roman" w:eastAsia="宋体" w:cs="Times New Roman"/>
                <w:szCs w:val="21"/>
              </w:rPr>
              <w:t>加强</w:t>
            </w:r>
            <w:r>
              <w:rPr>
                <w:rFonts w:hint="eastAsia" w:ascii="Times New Roman" w:hAnsi="Times New Roman" w:eastAsia="宋体" w:cs="Times New Roman"/>
                <w:szCs w:val="21"/>
              </w:rPr>
              <w:t>生产管理，</w:t>
            </w:r>
            <w:r>
              <w:rPr>
                <w:rFonts w:ascii="Times New Roman" w:hAnsi="Times New Roman" w:eastAsia="宋体" w:cs="Times New Roman"/>
                <w:szCs w:val="21"/>
              </w:rPr>
              <w:t>提高</w:t>
            </w:r>
            <w:r>
              <w:rPr>
                <w:rFonts w:hint="eastAsia" w:ascii="Times New Roman" w:hAnsi="Times New Roman" w:eastAsia="宋体" w:cs="Times New Roman"/>
                <w:szCs w:val="21"/>
              </w:rPr>
              <w:t>员工生产操作的规范性，</w:t>
            </w:r>
            <w:r>
              <w:rPr>
                <w:rFonts w:ascii="Times New Roman" w:hAnsi="Times New Roman" w:eastAsia="宋体" w:cs="Times New Roman"/>
                <w:szCs w:val="21"/>
              </w:rPr>
              <w:t>减少</w:t>
            </w:r>
            <w:r>
              <w:rPr>
                <w:rFonts w:hint="eastAsia" w:ascii="Times New Roman" w:hAnsi="Times New Roman" w:eastAsia="宋体" w:cs="Times New Roman"/>
                <w:szCs w:val="21"/>
              </w:rPr>
              <w:t>废气排放量。</w:t>
            </w:r>
          </w:p>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w:t>
            </w:r>
            <w:r>
              <w:rPr>
                <w:rFonts w:hint="eastAsia" w:ascii="Times New Roman" w:hAnsi="Times New Roman" w:eastAsia="宋体" w:cs="Times New Roman"/>
                <w:szCs w:val="21"/>
              </w:rPr>
              <w:t>噪声。</w:t>
            </w:r>
            <w:r>
              <w:rPr>
                <w:rFonts w:ascii="Times New Roman" w:hAnsi="Times New Roman" w:eastAsia="宋体" w:cs="Times New Roman"/>
                <w:szCs w:val="21"/>
              </w:rPr>
              <w:t>主要</w:t>
            </w:r>
            <w:r>
              <w:rPr>
                <w:rFonts w:hint="eastAsia" w:ascii="Times New Roman" w:hAnsi="Times New Roman" w:eastAsia="宋体" w:cs="Times New Roman"/>
                <w:szCs w:val="21"/>
              </w:rPr>
              <w:t>为</w:t>
            </w:r>
            <w:r>
              <w:rPr>
                <w:rFonts w:ascii="Times New Roman" w:hAnsi="Times New Roman" w:eastAsia="宋体" w:cs="Times New Roman"/>
                <w:szCs w:val="21"/>
              </w:rPr>
              <w:t>设备</w:t>
            </w:r>
            <w:r>
              <w:rPr>
                <w:rFonts w:hint="eastAsia" w:ascii="Times New Roman" w:hAnsi="Times New Roman" w:eastAsia="宋体" w:cs="Times New Roman"/>
                <w:szCs w:val="21"/>
              </w:rPr>
              <w:t>运行过程中产生的噪声。</w:t>
            </w:r>
            <w:r>
              <w:rPr>
                <w:rFonts w:ascii="Times New Roman" w:hAnsi="Times New Roman" w:eastAsia="宋体" w:cs="Times New Roman"/>
                <w:szCs w:val="21"/>
              </w:rPr>
              <w:t>通过</w:t>
            </w:r>
            <w:r>
              <w:rPr>
                <w:rFonts w:hint="eastAsia" w:ascii="Times New Roman" w:hAnsi="Times New Roman" w:eastAsia="宋体" w:cs="Times New Roman"/>
                <w:szCs w:val="21"/>
              </w:rPr>
              <w:t>安装减震垫、</w:t>
            </w:r>
            <w:r>
              <w:rPr>
                <w:rFonts w:ascii="Times New Roman" w:hAnsi="Times New Roman" w:eastAsia="宋体" w:cs="Times New Roman"/>
                <w:szCs w:val="21"/>
              </w:rPr>
              <w:t>选用</w:t>
            </w:r>
            <w:r>
              <w:rPr>
                <w:rFonts w:hint="eastAsia" w:ascii="Times New Roman" w:hAnsi="Times New Roman" w:eastAsia="宋体" w:cs="Times New Roman"/>
                <w:szCs w:val="21"/>
              </w:rPr>
              <w:t>低噪声设备，</w:t>
            </w:r>
            <w:r>
              <w:rPr>
                <w:rFonts w:ascii="Times New Roman" w:hAnsi="Times New Roman" w:eastAsia="宋体" w:cs="Times New Roman"/>
                <w:szCs w:val="21"/>
              </w:rPr>
              <w:t>合理</w:t>
            </w:r>
            <w:r>
              <w:rPr>
                <w:rFonts w:hint="eastAsia" w:ascii="Times New Roman" w:hAnsi="Times New Roman" w:eastAsia="宋体" w:cs="Times New Roman"/>
                <w:szCs w:val="21"/>
              </w:rPr>
              <w:t>布置生产设备，</w:t>
            </w:r>
            <w:r>
              <w:rPr>
                <w:rFonts w:ascii="Times New Roman" w:hAnsi="Times New Roman" w:eastAsia="宋体" w:cs="Times New Roman"/>
                <w:szCs w:val="21"/>
              </w:rPr>
              <w:t>再</w:t>
            </w:r>
            <w:r>
              <w:rPr>
                <w:rFonts w:hint="eastAsia" w:ascii="Times New Roman" w:hAnsi="Times New Roman" w:eastAsia="宋体" w:cs="Times New Roman"/>
                <w:szCs w:val="21"/>
              </w:rPr>
              <w:t>经墙体隔音及距离衰减后，</w:t>
            </w:r>
            <w:r>
              <w:rPr>
                <w:rFonts w:ascii="Times New Roman" w:hAnsi="Times New Roman" w:eastAsia="宋体" w:cs="Times New Roman"/>
                <w:szCs w:val="21"/>
              </w:rPr>
              <w:t>满足</w:t>
            </w:r>
            <w:r>
              <w:rPr>
                <w:rFonts w:hint="eastAsia" w:ascii="Times New Roman" w:hAnsi="Times New Roman" w:eastAsia="宋体" w:cs="Times New Roman"/>
                <w:szCs w:val="21"/>
              </w:rPr>
              <w:t>《工业企业厂界环境噪声排放标准》（</w:t>
            </w:r>
            <w:r>
              <w:rPr>
                <w:rFonts w:ascii="Times New Roman" w:hAnsi="Times New Roman" w:eastAsia="宋体" w:cs="Times New Roman"/>
                <w:szCs w:val="21"/>
              </w:rPr>
              <w:t>GB12348-</w:t>
            </w:r>
            <w:r>
              <w:rPr>
                <w:rFonts w:hint="eastAsia" w:ascii="Times New Roman" w:hAnsi="Times New Roman" w:eastAsia="宋体" w:cs="Times New Roman"/>
                <w:szCs w:val="21"/>
              </w:rPr>
              <w:t>2008</w:t>
            </w:r>
            <w:r>
              <w:rPr>
                <w:rFonts w:ascii="Times New Roman" w:hAnsi="Times New Roman" w:eastAsia="宋体" w:cs="Times New Roman"/>
                <w:szCs w:val="21"/>
              </w:rPr>
              <w:t>）</w:t>
            </w:r>
            <w:r>
              <w:rPr>
                <w:rFonts w:hint="eastAsia" w:ascii="Times New Roman" w:hAnsi="Times New Roman" w:eastAsia="宋体" w:cs="Times New Roman"/>
                <w:szCs w:val="21"/>
              </w:rPr>
              <w:t>3类标准。</w:t>
            </w:r>
          </w:p>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（4）固体废弃物。主要为预处理装置产生的废过滤网、</w:t>
            </w:r>
            <w:r>
              <w:rPr>
                <w:rFonts w:ascii="Times New Roman" w:hAnsi="Times New Roman" w:eastAsia="宋体" w:cs="Times New Roman"/>
                <w:szCs w:val="21"/>
              </w:rPr>
              <w:t>废</w:t>
            </w:r>
            <w:r>
              <w:rPr>
                <w:rFonts w:hint="eastAsia" w:ascii="Times New Roman" w:hAnsi="Times New Roman" w:eastAsia="宋体" w:cs="Times New Roman"/>
                <w:szCs w:val="21"/>
              </w:rPr>
              <w:t>含油废渣、含油污泥、</w:t>
            </w:r>
            <w:r>
              <w:rPr>
                <w:rFonts w:ascii="Times New Roman" w:hAnsi="Times New Roman" w:eastAsia="宋体" w:cs="Times New Roman"/>
                <w:szCs w:val="21"/>
              </w:rPr>
              <w:t>废</w:t>
            </w:r>
            <w:r>
              <w:rPr>
                <w:rFonts w:hint="eastAsia" w:ascii="Times New Roman" w:hAnsi="Times New Roman" w:eastAsia="宋体" w:cs="Times New Roman"/>
                <w:szCs w:val="21"/>
              </w:rPr>
              <w:t>滤布、</w:t>
            </w:r>
            <w:r>
              <w:rPr>
                <w:rFonts w:ascii="Times New Roman" w:hAnsi="Times New Roman" w:eastAsia="宋体" w:cs="Times New Roman"/>
                <w:szCs w:val="21"/>
              </w:rPr>
              <w:t>含油</w:t>
            </w:r>
            <w:r>
              <w:rPr>
                <w:rFonts w:hint="eastAsia" w:ascii="Times New Roman" w:hAnsi="Times New Roman" w:eastAsia="宋体" w:cs="Times New Roman"/>
                <w:szCs w:val="21"/>
              </w:rPr>
              <w:t>抹布、</w:t>
            </w:r>
            <w:r>
              <w:rPr>
                <w:rFonts w:ascii="Times New Roman" w:hAnsi="Times New Roman" w:eastAsia="宋体" w:cs="Times New Roman"/>
                <w:szCs w:val="21"/>
              </w:rPr>
              <w:t>废活性炭</w:t>
            </w:r>
            <w:r>
              <w:rPr>
                <w:rFonts w:hint="eastAsia" w:ascii="Times New Roman" w:hAnsi="Times New Roman" w:eastAsia="宋体" w:cs="Times New Roman"/>
                <w:szCs w:val="21"/>
              </w:rPr>
              <w:t>和生活垃圾等。</w:t>
            </w:r>
            <w:r>
              <w:rPr>
                <w:rFonts w:ascii="Times New Roman" w:hAnsi="Times New Roman" w:eastAsia="宋体" w:cs="Times New Roman"/>
                <w:szCs w:val="21"/>
              </w:rPr>
              <w:t>其中</w:t>
            </w:r>
            <w:r>
              <w:rPr>
                <w:rFonts w:hint="eastAsia" w:ascii="Times New Roman" w:hAnsi="Times New Roman" w:eastAsia="宋体" w:cs="Times New Roman"/>
                <w:szCs w:val="21"/>
              </w:rPr>
              <w:t>，</w:t>
            </w:r>
            <w:r>
              <w:rPr>
                <w:rFonts w:ascii="Times New Roman" w:hAnsi="Times New Roman" w:eastAsia="宋体" w:cs="Times New Roman"/>
                <w:szCs w:val="21"/>
              </w:rPr>
              <w:t>废</w:t>
            </w:r>
            <w:r>
              <w:rPr>
                <w:rFonts w:hint="eastAsia" w:ascii="Times New Roman" w:hAnsi="Times New Roman" w:eastAsia="宋体" w:cs="Times New Roman"/>
                <w:szCs w:val="21"/>
              </w:rPr>
              <w:t>过滤网、</w:t>
            </w:r>
            <w:r>
              <w:rPr>
                <w:rFonts w:ascii="Times New Roman" w:hAnsi="Times New Roman" w:eastAsia="宋体" w:cs="Times New Roman"/>
                <w:szCs w:val="21"/>
              </w:rPr>
              <w:t>废</w:t>
            </w:r>
            <w:r>
              <w:rPr>
                <w:rFonts w:hint="eastAsia" w:ascii="Times New Roman" w:hAnsi="Times New Roman" w:eastAsia="宋体" w:cs="Times New Roman"/>
                <w:szCs w:val="21"/>
              </w:rPr>
              <w:t>含油废渣、含油污泥、</w:t>
            </w:r>
            <w:r>
              <w:rPr>
                <w:rFonts w:ascii="Times New Roman" w:hAnsi="Times New Roman" w:eastAsia="宋体" w:cs="Times New Roman"/>
                <w:szCs w:val="21"/>
              </w:rPr>
              <w:t>废</w:t>
            </w:r>
            <w:r>
              <w:rPr>
                <w:rFonts w:hint="eastAsia" w:ascii="Times New Roman" w:hAnsi="Times New Roman" w:eastAsia="宋体" w:cs="Times New Roman"/>
                <w:szCs w:val="21"/>
              </w:rPr>
              <w:t>滤布、</w:t>
            </w:r>
            <w:r>
              <w:rPr>
                <w:rFonts w:ascii="Times New Roman" w:hAnsi="Times New Roman" w:eastAsia="宋体" w:cs="Times New Roman"/>
                <w:szCs w:val="21"/>
              </w:rPr>
              <w:t>含油</w:t>
            </w:r>
            <w:r>
              <w:rPr>
                <w:rFonts w:hint="eastAsia" w:ascii="Times New Roman" w:hAnsi="Times New Roman" w:eastAsia="宋体" w:cs="Times New Roman"/>
                <w:szCs w:val="21"/>
              </w:rPr>
              <w:t>抹布、</w:t>
            </w:r>
            <w:r>
              <w:rPr>
                <w:rFonts w:ascii="Times New Roman" w:hAnsi="Times New Roman" w:eastAsia="宋体" w:cs="Times New Roman"/>
                <w:szCs w:val="21"/>
              </w:rPr>
              <w:t>废活性炭</w:t>
            </w:r>
            <w:r>
              <w:rPr>
                <w:rFonts w:hint="eastAsia" w:ascii="Times New Roman" w:hAnsi="Times New Roman" w:eastAsia="宋体" w:cs="Times New Roman"/>
                <w:szCs w:val="21"/>
              </w:rPr>
              <w:t>属于危险废物，</w:t>
            </w:r>
            <w:r>
              <w:rPr>
                <w:rFonts w:ascii="Times New Roman" w:hAnsi="Times New Roman" w:eastAsia="宋体" w:cs="Times New Roman"/>
                <w:szCs w:val="21"/>
              </w:rPr>
              <w:t>厂内</w:t>
            </w:r>
            <w:r>
              <w:rPr>
                <w:rFonts w:hint="eastAsia" w:ascii="Times New Roman" w:hAnsi="Times New Roman" w:eastAsia="宋体" w:cs="Times New Roman"/>
                <w:szCs w:val="21"/>
              </w:rPr>
              <w:t>建设200平方米危废暂存间，</w:t>
            </w:r>
            <w:r>
              <w:rPr>
                <w:rFonts w:ascii="Times New Roman" w:hAnsi="Times New Roman" w:eastAsia="宋体" w:cs="Times New Roman"/>
                <w:szCs w:val="21"/>
              </w:rPr>
              <w:t>按照</w:t>
            </w:r>
            <w:r>
              <w:rPr>
                <w:rFonts w:hint="eastAsia" w:ascii="Times New Roman" w:hAnsi="Times New Roman" w:eastAsia="宋体" w:cs="Times New Roman"/>
                <w:szCs w:val="21"/>
              </w:rPr>
              <w:t>《危险废物贮存污染控制标准》（GB18597-2001）规定安全暂存、</w:t>
            </w:r>
            <w:r>
              <w:rPr>
                <w:rFonts w:ascii="Times New Roman" w:hAnsi="Times New Roman" w:eastAsia="宋体" w:cs="Times New Roman"/>
                <w:szCs w:val="21"/>
              </w:rPr>
              <w:t>规范</w:t>
            </w:r>
            <w:r>
              <w:rPr>
                <w:rFonts w:hint="eastAsia" w:ascii="Times New Roman" w:hAnsi="Times New Roman" w:eastAsia="宋体" w:cs="Times New Roman"/>
                <w:szCs w:val="21"/>
              </w:rPr>
              <w:t>管理，</w:t>
            </w:r>
            <w:r>
              <w:rPr>
                <w:rFonts w:ascii="Times New Roman" w:hAnsi="Times New Roman" w:eastAsia="宋体" w:cs="Times New Roman"/>
                <w:szCs w:val="21"/>
              </w:rPr>
              <w:t>定期</w:t>
            </w:r>
            <w:r>
              <w:rPr>
                <w:rFonts w:hint="eastAsia" w:ascii="Times New Roman" w:hAnsi="Times New Roman" w:eastAsia="宋体" w:cs="Times New Roman"/>
                <w:szCs w:val="21"/>
              </w:rPr>
              <w:t>交由有资质的单位进行处置，</w:t>
            </w:r>
            <w:r>
              <w:rPr>
                <w:rFonts w:ascii="Times New Roman" w:hAnsi="Times New Roman" w:eastAsia="宋体" w:cs="Times New Roman"/>
                <w:szCs w:val="21"/>
              </w:rPr>
              <w:t>不得</w:t>
            </w:r>
            <w:r>
              <w:rPr>
                <w:rFonts w:hint="eastAsia" w:ascii="Times New Roman" w:hAnsi="Times New Roman" w:eastAsia="宋体" w:cs="Times New Roman"/>
                <w:szCs w:val="21"/>
              </w:rPr>
              <w:t>随意转运或抛弃；</w:t>
            </w:r>
            <w:r>
              <w:rPr>
                <w:rFonts w:ascii="Times New Roman" w:hAnsi="Times New Roman" w:eastAsia="宋体" w:cs="Times New Roman"/>
                <w:szCs w:val="21"/>
              </w:rPr>
              <w:t>生活垃圾</w:t>
            </w:r>
            <w:r>
              <w:rPr>
                <w:rFonts w:hint="eastAsia" w:ascii="Times New Roman" w:hAnsi="Times New Roman" w:eastAsia="宋体" w:cs="Times New Roman"/>
                <w:szCs w:val="21"/>
              </w:rPr>
              <w:t>由环卫部门统一清运。</w:t>
            </w:r>
          </w:p>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环境风险防范。落实报告书中所提的风险防范措施，</w:t>
            </w:r>
            <w:r>
              <w:rPr>
                <w:rFonts w:ascii="Times New Roman" w:hAnsi="Times New Roman" w:eastAsia="宋体" w:cs="Times New Roman"/>
                <w:szCs w:val="21"/>
              </w:rPr>
              <w:t>严防</w:t>
            </w:r>
            <w:r>
              <w:rPr>
                <w:rFonts w:hint="eastAsia" w:ascii="Times New Roman" w:hAnsi="Times New Roman" w:eastAsia="宋体" w:cs="Times New Roman"/>
                <w:szCs w:val="21"/>
              </w:rPr>
              <w:t>项目因安全事故引发的环境污染事件。</w:t>
            </w:r>
          </w:p>
        </w:tc>
        <w:tc>
          <w:tcPr>
            <w:tcW w:w="3260" w:type="dxa"/>
            <w:vAlign w:val="center"/>
          </w:tcPr>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w:t>
            </w:r>
            <w:r>
              <w:rPr>
                <w:rFonts w:hint="eastAsia" w:ascii="Times New Roman" w:hAnsi="Times New Roman" w:eastAsia="宋体" w:cs="Times New Roman"/>
                <w:szCs w:val="21"/>
              </w:rPr>
              <w:t>废水：</w:t>
            </w:r>
            <w:r>
              <w:rPr>
                <w:rFonts w:ascii="Times New Roman" w:hAnsi="Times New Roman" w:eastAsia="宋体" w:cs="Times New Roman"/>
                <w:szCs w:val="21"/>
              </w:rPr>
              <w:t>项目工艺废水、地面冲洗废水、</w:t>
            </w:r>
            <w:r>
              <w:rPr>
                <w:rFonts w:hint="eastAsia" w:ascii="Times New Roman" w:hAnsi="Times New Roman" w:eastAsia="宋体" w:cs="Times New Roman"/>
                <w:szCs w:val="21"/>
              </w:rPr>
              <w:t>生活污水等</w:t>
            </w:r>
            <w:r>
              <w:rPr>
                <w:rFonts w:ascii="Times New Roman" w:hAnsi="Times New Roman" w:eastAsia="宋体" w:cs="Times New Roman"/>
                <w:szCs w:val="21"/>
              </w:rPr>
              <w:t>集中收集后进入厂区污水处理站进行处理，</w:t>
            </w:r>
            <w:r>
              <w:rPr>
                <w:rFonts w:hint="eastAsia" w:ascii="Times New Roman" w:hAnsi="Times New Roman" w:eastAsia="宋体" w:cs="Times New Roman"/>
                <w:szCs w:val="21"/>
              </w:rPr>
              <w:t>含油废水首先进行单独除油，采用“隔油+气浮”工艺，预处理出水与生活污水混合后进行生化处理，</w:t>
            </w:r>
            <w:r>
              <w:rPr>
                <w:rFonts w:ascii="Times New Roman" w:hAnsi="Times New Roman" w:eastAsia="宋体" w:cs="Times New Roman"/>
                <w:szCs w:val="21"/>
              </w:rPr>
              <w:t>采取“调节+</w:t>
            </w:r>
            <w:r>
              <w:rPr>
                <w:rFonts w:hint="eastAsia" w:ascii="Times New Roman" w:hAnsi="Times New Roman" w:eastAsia="宋体" w:cs="Times New Roman"/>
                <w:szCs w:val="21"/>
              </w:rPr>
              <w:t>UASB</w:t>
            </w:r>
            <w:r>
              <w:rPr>
                <w:rFonts w:ascii="Times New Roman" w:hAnsi="Times New Roman" w:eastAsia="宋体" w:cs="Times New Roman"/>
                <w:szCs w:val="21"/>
              </w:rPr>
              <w:t>+</w:t>
            </w:r>
            <w:r>
              <w:rPr>
                <w:rFonts w:hint="eastAsia" w:ascii="Times New Roman" w:hAnsi="Times New Roman" w:eastAsia="宋体" w:cs="Times New Roman"/>
                <w:szCs w:val="21"/>
              </w:rPr>
              <w:t xml:space="preserve"> A/O</w:t>
            </w:r>
            <w:r>
              <w:rPr>
                <w:rFonts w:ascii="Times New Roman" w:hAnsi="Times New Roman" w:eastAsia="宋体" w:cs="Times New Roman"/>
                <w:szCs w:val="21"/>
              </w:rPr>
              <w:t>”处理工艺。处理后的生产废水</w:t>
            </w:r>
            <w:r>
              <w:rPr>
                <w:rFonts w:hint="eastAsia" w:ascii="Times New Roman" w:hAnsi="Times New Roman" w:eastAsia="宋体" w:cs="Times New Roman"/>
                <w:szCs w:val="21"/>
              </w:rPr>
              <w:t>和生活污水</w:t>
            </w:r>
            <w:r>
              <w:rPr>
                <w:rFonts w:ascii="Times New Roman" w:hAnsi="Times New Roman" w:eastAsia="宋体" w:cs="Times New Roman"/>
                <w:szCs w:val="21"/>
              </w:rPr>
              <w:t>达到</w:t>
            </w:r>
            <w:r>
              <w:rPr>
                <w:rFonts w:hint="eastAsia" w:ascii="Times New Roman" w:hAnsi="Times New Roman" w:eastAsia="宋体" w:cs="Times New Roman"/>
                <w:szCs w:val="21"/>
              </w:rPr>
              <w:t>《污水综合排放标准》（GB8978-1996）表4二级</w:t>
            </w:r>
            <w:r>
              <w:rPr>
                <w:rFonts w:ascii="Times New Roman" w:hAnsi="Times New Roman" w:eastAsia="宋体" w:cs="Times New Roman"/>
                <w:szCs w:val="21"/>
              </w:rPr>
              <w:t>标准及</w:t>
            </w:r>
            <w:r>
              <w:rPr>
                <w:rFonts w:hint="eastAsia" w:ascii="Times New Roman" w:hAnsi="Times New Roman" w:eastAsia="宋体" w:cs="Times New Roman"/>
                <w:szCs w:val="21"/>
              </w:rPr>
              <w:t>濮阳市第二污水处理厂</w:t>
            </w:r>
            <w:r>
              <w:rPr>
                <w:rFonts w:ascii="Times New Roman" w:hAnsi="Times New Roman" w:eastAsia="宋体" w:cs="Times New Roman"/>
                <w:szCs w:val="21"/>
              </w:rPr>
              <w:t>进水水质要求后，排入</w:t>
            </w:r>
            <w:r>
              <w:rPr>
                <w:rFonts w:hint="eastAsia" w:ascii="Times New Roman" w:hAnsi="Times New Roman" w:eastAsia="宋体" w:cs="Times New Roman"/>
                <w:szCs w:val="21"/>
              </w:rPr>
              <w:t>顺河沟，最终排入马颊河</w:t>
            </w:r>
            <w:r>
              <w:rPr>
                <w:rFonts w:ascii="Times New Roman" w:hAnsi="Times New Roman" w:eastAsia="宋体" w:cs="Times New Roman"/>
                <w:szCs w:val="21"/>
              </w:rPr>
              <w:t>。</w:t>
            </w:r>
          </w:p>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w:t>
            </w:r>
            <w:r>
              <w:rPr>
                <w:rFonts w:hint="eastAsia" w:ascii="Times New Roman" w:hAnsi="Times New Roman" w:eastAsia="宋体" w:cs="Times New Roman"/>
                <w:szCs w:val="21"/>
              </w:rPr>
              <w:t>未冷凝的不凝气经真空泵进入水封罐后送至减压炉燃烧，减压炉燃烧废气通过</w:t>
            </w:r>
            <w:r>
              <w:rPr>
                <w:rFonts w:ascii="Times New Roman" w:hAnsi="Times New Roman" w:eastAsia="宋体" w:cs="Times New Roman"/>
                <w:szCs w:val="21"/>
              </w:rPr>
              <w:t>28m</w:t>
            </w:r>
            <w:r>
              <w:rPr>
                <w:rFonts w:hint="eastAsia" w:ascii="Times New Roman" w:hAnsi="Times New Roman" w:eastAsia="宋体" w:cs="Times New Roman"/>
                <w:szCs w:val="21"/>
              </w:rPr>
              <w:t>的排气筒达标排放；导热油炉的烟气通过</w:t>
            </w:r>
            <w:r>
              <w:rPr>
                <w:rFonts w:ascii="Times New Roman" w:hAnsi="Times New Roman" w:eastAsia="宋体" w:cs="Times New Roman"/>
                <w:szCs w:val="21"/>
              </w:rPr>
              <w:t>30m</w:t>
            </w:r>
            <w:r>
              <w:rPr>
                <w:rFonts w:hint="eastAsia" w:ascii="Times New Roman" w:hAnsi="Times New Roman" w:eastAsia="宋体" w:cs="Times New Roman"/>
                <w:szCs w:val="21"/>
              </w:rPr>
              <w:t>的排气筒达标排放；装车平台设置油气回收设施，罐区小呼吸损耗油气经吸附塔吸附后通过15m排气筒排放，污水处理站污水处理设施运行中产生的废气经密闭的管道运送至微生物吸附装置处理过后由15m排气筒排出。</w:t>
            </w:r>
          </w:p>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w:t>
            </w:r>
            <w:r>
              <w:rPr>
                <w:rFonts w:hint="eastAsia" w:ascii="Times New Roman" w:hAnsi="Times New Roman" w:eastAsia="宋体" w:cs="Times New Roman"/>
                <w:szCs w:val="21"/>
              </w:rPr>
              <w:t>项目运营过程中产生噪声的设备主要有各类机泵、冷却塔、空气压缩机、备用发电机等，采取的噪声污染防治措施主要有：选用低噪声设备，采用隔声、消音器、减震等措施等。</w:t>
            </w:r>
          </w:p>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w:t>
            </w:r>
            <w:r>
              <w:rPr>
                <w:rFonts w:hint="eastAsia" w:ascii="Times New Roman" w:hAnsi="Times New Roman" w:eastAsia="宋体" w:cs="Times New Roman"/>
                <w:szCs w:val="21"/>
              </w:rPr>
              <w:t>项目变更后，运营期产生的固体废物有危险废物及办公生活垃圾。危险废物包括含油残渣、废抹布、废活性炭及含油污泥等，交给有资质的单位处置；生活垃圾拟交由当地环卫部门处理。</w:t>
            </w:r>
          </w:p>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项目变更后，在落实原环评中所提的环境风险防范措施基础上，</w:t>
            </w:r>
            <w:r>
              <w:rPr>
                <w:rFonts w:ascii="Times New Roman" w:hAnsi="Times New Roman" w:eastAsia="宋体" w:cs="Times New Roman"/>
                <w:szCs w:val="21"/>
              </w:rPr>
              <w:t>拟</w:t>
            </w:r>
            <w:r>
              <w:rPr>
                <w:rFonts w:hint="eastAsia" w:ascii="Times New Roman" w:hAnsi="Times New Roman" w:eastAsia="宋体" w:cs="Times New Roman"/>
                <w:szCs w:val="21"/>
              </w:rPr>
              <w:t>在原料罐区南侧新建一座200m</w:t>
            </w:r>
            <w:r>
              <w:rPr>
                <w:rFonts w:hint="eastAsia" w:ascii="Times New Roman" w:hAnsi="Times New Roman" w:eastAsia="宋体" w:cs="Times New Roman"/>
                <w:szCs w:val="21"/>
                <w:vertAlign w:val="superscript"/>
              </w:rPr>
              <w:t>2</w:t>
            </w:r>
            <w:r>
              <w:rPr>
                <w:rFonts w:hint="eastAsia" w:ascii="Times New Roman" w:hAnsi="Times New Roman" w:eastAsia="宋体" w:cs="Times New Roman"/>
                <w:szCs w:val="21"/>
              </w:rPr>
              <w:t>初期雨水池，为项目后期建设预留余量。</w:t>
            </w:r>
          </w:p>
        </w:tc>
        <w:tc>
          <w:tcPr>
            <w:tcW w:w="64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污水处理站工艺改变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vAlign w:val="center"/>
          </w:tcPr>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七、</w:t>
            </w:r>
            <w:r>
              <w:rPr>
                <w:rFonts w:ascii="Times New Roman" w:hAnsi="Times New Roman" w:eastAsia="宋体" w:cs="Times New Roman"/>
                <w:szCs w:val="21"/>
              </w:rPr>
              <w:t>本项目</w:t>
            </w:r>
            <w:r>
              <w:rPr>
                <w:rFonts w:hint="eastAsia" w:ascii="Times New Roman" w:hAnsi="Times New Roman" w:eastAsia="宋体" w:cs="Times New Roman"/>
                <w:szCs w:val="21"/>
              </w:rPr>
              <w:t>废水排放量104676吨/年，</w:t>
            </w:r>
            <w:r>
              <w:rPr>
                <w:rFonts w:ascii="Times New Roman" w:hAnsi="Times New Roman" w:eastAsia="宋体" w:cs="Times New Roman"/>
                <w:szCs w:val="21"/>
              </w:rPr>
              <w:t>主要</w:t>
            </w:r>
            <w:r>
              <w:rPr>
                <w:rFonts w:hint="eastAsia" w:ascii="Times New Roman" w:hAnsi="Times New Roman" w:eastAsia="宋体" w:cs="Times New Roman"/>
                <w:szCs w:val="21"/>
              </w:rPr>
              <w:t>污染物排放量控制指标已经市环保局审核备案（项目编号：4109000202），</w:t>
            </w:r>
            <w:r>
              <w:rPr>
                <w:rFonts w:ascii="Times New Roman" w:hAnsi="Times New Roman" w:eastAsia="宋体" w:cs="Times New Roman"/>
                <w:szCs w:val="21"/>
              </w:rPr>
              <w:t>化学</w:t>
            </w:r>
            <w:r>
              <w:rPr>
                <w:rFonts w:hint="eastAsia" w:ascii="Times New Roman" w:hAnsi="Times New Roman" w:eastAsia="宋体" w:cs="Times New Roman"/>
                <w:szCs w:val="21"/>
              </w:rPr>
              <w:t>需氧量4.187吨/年、</w:t>
            </w:r>
            <w:r>
              <w:rPr>
                <w:rFonts w:ascii="Times New Roman" w:hAnsi="Times New Roman" w:eastAsia="宋体" w:cs="Times New Roman"/>
                <w:szCs w:val="21"/>
              </w:rPr>
              <w:t>氨氮</w:t>
            </w:r>
            <w:r>
              <w:rPr>
                <w:rFonts w:hint="eastAsia" w:ascii="Times New Roman" w:hAnsi="Times New Roman" w:eastAsia="宋体" w:cs="Times New Roman"/>
                <w:szCs w:val="21"/>
              </w:rPr>
              <w:t>0.209吨/年、</w:t>
            </w:r>
            <w:r>
              <w:rPr>
                <w:rFonts w:ascii="Times New Roman" w:hAnsi="Times New Roman" w:eastAsia="宋体" w:cs="Times New Roman"/>
                <w:szCs w:val="21"/>
              </w:rPr>
              <w:t>二氧化硫</w:t>
            </w:r>
            <w:r>
              <w:rPr>
                <w:rFonts w:hint="eastAsia" w:ascii="Times New Roman" w:hAnsi="Times New Roman" w:eastAsia="宋体" w:cs="Times New Roman"/>
                <w:szCs w:val="21"/>
              </w:rPr>
              <w:t>2.16吨/年、</w:t>
            </w:r>
            <w:r>
              <w:rPr>
                <w:rFonts w:ascii="Times New Roman" w:hAnsi="Times New Roman" w:eastAsia="宋体" w:cs="Times New Roman"/>
                <w:szCs w:val="21"/>
              </w:rPr>
              <w:t>氮氧化物</w:t>
            </w:r>
            <w:r>
              <w:rPr>
                <w:rFonts w:hint="eastAsia" w:ascii="Times New Roman" w:hAnsi="Times New Roman" w:eastAsia="宋体" w:cs="Times New Roman"/>
                <w:szCs w:val="21"/>
              </w:rPr>
              <w:t>7.20吨/年。</w:t>
            </w:r>
          </w:p>
        </w:tc>
        <w:tc>
          <w:tcPr>
            <w:tcW w:w="3260" w:type="dxa"/>
            <w:vAlign w:val="center"/>
          </w:tcPr>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变更后，项目废水排放量减少为98406吨/年，废水中</w:t>
            </w:r>
            <w:r>
              <w:rPr>
                <w:rFonts w:ascii="Times New Roman" w:hAnsi="Times New Roman" w:eastAsia="宋体" w:cs="Times New Roman"/>
                <w:szCs w:val="21"/>
              </w:rPr>
              <w:t>化学</w:t>
            </w:r>
            <w:r>
              <w:rPr>
                <w:rFonts w:hint="eastAsia" w:ascii="Times New Roman" w:hAnsi="Times New Roman" w:eastAsia="宋体" w:cs="Times New Roman"/>
                <w:szCs w:val="21"/>
              </w:rPr>
              <w:t>需氧量排放量为</w:t>
            </w:r>
            <w:r>
              <w:rPr>
                <w:rFonts w:ascii="Times New Roman" w:hAnsi="Times New Roman" w:eastAsia="宋体" w:cs="Times New Roman"/>
                <w:szCs w:val="21"/>
              </w:rPr>
              <w:t>3.936</w:t>
            </w:r>
            <w:r>
              <w:rPr>
                <w:rFonts w:hint="eastAsia" w:ascii="Times New Roman" w:hAnsi="Times New Roman" w:eastAsia="宋体" w:cs="Times New Roman"/>
                <w:szCs w:val="21"/>
              </w:rPr>
              <w:t>吨/年、</w:t>
            </w:r>
            <w:r>
              <w:rPr>
                <w:rFonts w:ascii="Times New Roman" w:hAnsi="Times New Roman" w:eastAsia="宋体" w:cs="Times New Roman"/>
                <w:szCs w:val="21"/>
              </w:rPr>
              <w:t>氨氮</w:t>
            </w:r>
            <w:r>
              <w:rPr>
                <w:rFonts w:hint="eastAsia" w:ascii="Times New Roman" w:hAnsi="Times New Roman" w:eastAsia="宋体" w:cs="Times New Roman"/>
                <w:szCs w:val="21"/>
              </w:rPr>
              <w:t>为</w:t>
            </w:r>
            <w:r>
              <w:rPr>
                <w:rFonts w:ascii="Times New Roman" w:hAnsi="Times New Roman" w:eastAsia="宋体" w:cs="Times New Roman"/>
                <w:szCs w:val="21"/>
              </w:rPr>
              <w:t>0.197</w:t>
            </w:r>
            <w:r>
              <w:rPr>
                <w:rFonts w:hint="eastAsia" w:ascii="Times New Roman" w:hAnsi="Times New Roman" w:eastAsia="宋体" w:cs="Times New Roman"/>
                <w:szCs w:val="21"/>
              </w:rPr>
              <w:t>吨/年、</w:t>
            </w:r>
            <w:r>
              <w:rPr>
                <w:rFonts w:ascii="Times New Roman" w:hAnsi="Times New Roman" w:eastAsia="宋体" w:cs="Times New Roman"/>
                <w:szCs w:val="21"/>
              </w:rPr>
              <w:t>二氧化硫2.08</w:t>
            </w:r>
            <w:r>
              <w:rPr>
                <w:rFonts w:hint="eastAsia" w:ascii="Times New Roman" w:hAnsi="Times New Roman" w:eastAsia="宋体" w:cs="Times New Roman"/>
                <w:szCs w:val="21"/>
              </w:rPr>
              <w:t>吨/年、</w:t>
            </w:r>
            <w:r>
              <w:rPr>
                <w:rFonts w:ascii="Times New Roman" w:hAnsi="Times New Roman" w:eastAsia="宋体" w:cs="Times New Roman"/>
                <w:szCs w:val="21"/>
              </w:rPr>
              <w:t>氮氧化物5.1</w:t>
            </w:r>
            <w:r>
              <w:rPr>
                <w:rFonts w:hint="eastAsia" w:ascii="Times New Roman" w:hAnsi="Times New Roman" w:eastAsia="宋体" w:cs="Times New Roman"/>
                <w:szCs w:val="21"/>
              </w:rPr>
              <w:t>吨/年。</w:t>
            </w:r>
            <w:r>
              <w:rPr>
                <w:rFonts w:ascii="Times New Roman" w:hAnsi="Times New Roman" w:eastAsia="宋体" w:cs="Times New Roman"/>
                <w:szCs w:val="21"/>
              </w:rPr>
              <w:t>。</w:t>
            </w:r>
          </w:p>
        </w:tc>
        <w:tc>
          <w:tcPr>
            <w:tcW w:w="64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减少</w:t>
            </w:r>
          </w:p>
        </w:tc>
      </w:tr>
    </w:tbl>
    <w:p>
      <w:pPr>
        <w:spacing w:line="480" w:lineRule="exact"/>
        <w:ind w:firstLine="480" w:firstLineChars="200"/>
        <w:rPr>
          <w:rFonts w:ascii="Times New Roman" w:hAnsi="Times New Roman" w:eastAsia="宋体" w:cs="Times New Roman"/>
          <w:sz w:val="24"/>
          <w:szCs w:val="24"/>
        </w:rPr>
      </w:pPr>
    </w:p>
    <w:p>
      <w:pPr>
        <w:pStyle w:val="39"/>
        <w:rPr>
          <w:color w:val="auto"/>
        </w:rPr>
      </w:pPr>
      <w:bookmarkStart w:id="30" w:name="_Toc8391534"/>
      <w:r>
        <w:rPr>
          <w:rFonts w:hint="eastAsia"/>
          <w:color w:val="auto"/>
        </w:rPr>
        <w:t>3.2 平面布置图</w:t>
      </w:r>
      <w:bookmarkEnd w:id="30"/>
    </w:p>
    <w:p>
      <w:pPr>
        <w:spacing w:line="480" w:lineRule="exact"/>
        <w:ind w:firstLine="482" w:firstLineChars="200"/>
        <w:rPr>
          <w:rFonts w:ascii="Times New Roman" w:hAnsi="Times New Roman" w:eastAsia="宋体" w:cs="Times New Roman"/>
          <w:b/>
          <w:sz w:val="24"/>
          <w:szCs w:val="24"/>
        </w:rPr>
      </w:pPr>
      <w:bookmarkStart w:id="31" w:name="_Hlk505067022"/>
      <w:r>
        <w:rPr>
          <w:rFonts w:hint="eastAsia" w:ascii="Times New Roman" w:hAnsi="Times New Roman" w:eastAsia="宋体" w:cs="Times New Roman"/>
          <w:b/>
          <w:sz w:val="24"/>
          <w:szCs w:val="24"/>
        </w:rPr>
        <w:t>本项目厂内功能分区划分为工艺装置区、</w:t>
      </w:r>
      <w:r>
        <w:rPr>
          <w:rFonts w:ascii="Times New Roman" w:hAnsi="Times New Roman" w:eastAsia="宋体" w:cs="Times New Roman"/>
          <w:b/>
          <w:sz w:val="24"/>
          <w:szCs w:val="24"/>
        </w:rPr>
        <w:t>储运设施区</w:t>
      </w:r>
      <w:r>
        <w:rPr>
          <w:rFonts w:hint="eastAsia" w:ascii="Times New Roman" w:hAnsi="Times New Roman" w:eastAsia="宋体" w:cs="Times New Roman"/>
          <w:b/>
          <w:sz w:val="24"/>
          <w:szCs w:val="24"/>
        </w:rPr>
        <w:t>、公用工程设施区、辅助生产设施区及生产管理区，变更前后各功能分区布置保持不变，主要在工艺装置区内减少脱油泥、薄膜蒸发、</w:t>
      </w:r>
      <w:r>
        <w:rPr>
          <w:rFonts w:ascii="Times New Roman" w:hAnsi="Times New Roman" w:eastAsia="宋体" w:cs="Times New Roman"/>
          <w:b/>
          <w:sz w:val="24"/>
          <w:szCs w:val="24"/>
        </w:rPr>
        <w:t>糠醛</w:t>
      </w:r>
      <w:r>
        <w:rPr>
          <w:rFonts w:hint="eastAsia" w:ascii="Times New Roman" w:hAnsi="Times New Roman" w:eastAsia="宋体" w:cs="Times New Roman"/>
          <w:b/>
          <w:sz w:val="24"/>
          <w:szCs w:val="24"/>
        </w:rPr>
        <w:t>精制等配套设施，</w:t>
      </w:r>
      <w:r>
        <w:rPr>
          <w:rFonts w:ascii="Times New Roman" w:hAnsi="Times New Roman" w:eastAsia="宋体" w:cs="Times New Roman"/>
          <w:b/>
          <w:sz w:val="24"/>
          <w:szCs w:val="24"/>
        </w:rPr>
        <w:t>在</w:t>
      </w:r>
      <w:r>
        <w:rPr>
          <w:rFonts w:hint="eastAsia" w:ascii="Times New Roman" w:hAnsi="Times New Roman" w:eastAsia="宋体" w:cs="Times New Roman"/>
          <w:b/>
          <w:sz w:val="24"/>
          <w:szCs w:val="24"/>
        </w:rPr>
        <w:t>原料罐区南侧新增1座200m</w:t>
      </w:r>
      <w:r>
        <w:rPr>
          <w:rFonts w:hint="eastAsia" w:ascii="Times New Roman" w:hAnsi="Times New Roman" w:eastAsia="宋体" w:cs="Times New Roman"/>
          <w:b/>
          <w:sz w:val="24"/>
          <w:szCs w:val="24"/>
          <w:vertAlign w:val="superscript"/>
        </w:rPr>
        <w:t>3</w:t>
      </w:r>
      <w:r>
        <w:rPr>
          <w:rFonts w:hint="eastAsia" w:ascii="Times New Roman" w:hAnsi="Times New Roman" w:eastAsia="宋体" w:cs="Times New Roman"/>
          <w:b/>
          <w:sz w:val="24"/>
          <w:szCs w:val="24"/>
        </w:rPr>
        <w:t>的初期雨水池。</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（1）工艺装置区</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废矿物油综合利用</w:t>
      </w:r>
      <w:r>
        <w:rPr>
          <w:rFonts w:hint="eastAsia" w:ascii="Times New Roman" w:hAnsi="Times New Roman" w:eastAsia="宋体" w:cs="Times New Roman"/>
          <w:sz w:val="24"/>
          <w:szCs w:val="24"/>
        </w:rPr>
        <w:t>工艺</w:t>
      </w:r>
      <w:r>
        <w:rPr>
          <w:rFonts w:ascii="Times New Roman" w:hAnsi="Times New Roman" w:eastAsia="宋体" w:cs="Times New Roman"/>
          <w:sz w:val="24"/>
          <w:szCs w:val="24"/>
        </w:rPr>
        <w:t>装置</w:t>
      </w:r>
      <w:r>
        <w:rPr>
          <w:rFonts w:hint="eastAsia" w:ascii="Times New Roman" w:hAnsi="Times New Roman" w:eastAsia="宋体" w:cs="Times New Roman"/>
          <w:sz w:val="24"/>
          <w:szCs w:val="24"/>
        </w:rPr>
        <w:t>区</w:t>
      </w:r>
      <w:r>
        <w:rPr>
          <w:rFonts w:ascii="Times New Roman" w:hAnsi="Times New Roman" w:eastAsia="宋体" w:cs="Times New Roman"/>
          <w:sz w:val="24"/>
          <w:szCs w:val="24"/>
        </w:rPr>
        <w:t>位于</w:t>
      </w:r>
      <w:r>
        <w:rPr>
          <w:rFonts w:hint="eastAsia" w:ascii="Times New Roman" w:hAnsi="Times New Roman" w:eastAsia="宋体" w:cs="Times New Roman"/>
          <w:sz w:val="24"/>
          <w:szCs w:val="24"/>
        </w:rPr>
        <w:t>厂区中部，</w:t>
      </w:r>
      <w:r>
        <w:rPr>
          <w:rFonts w:ascii="Times New Roman" w:hAnsi="Times New Roman" w:eastAsia="宋体" w:cs="Times New Roman"/>
          <w:sz w:val="24"/>
          <w:szCs w:val="24"/>
        </w:rPr>
        <w:t>罐区南侧，其西侧为厂区围墙，且位于生产管理区和公用工程设施全年最小频率风向的上风向，生产装置周围设置高0.15m的围堰。</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装置北侧为罐区，东侧为循环水场、空压站等公用工程设施，便于缩短期管线，有利于降低能耗。</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装置南侧为预留装置区，用于装置扩建发展需要。</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（2）储运设施</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储运设施由原料罐组和产品罐组及装卸车设施组成。</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罐区集中布置在厂区北侧，紧靠工艺装置区，与装卸车设施相邻。</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装卸车设施位于厂区东北角，用围墙与厂区隔开，并设有独立的大门，通往厂区东侧的濮源路，便于原料、半成品及成品的输送及外运，并远离人流出入口，便于车辆进出。</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为了保证储罐区发生泄漏事故时，泄漏料不外流污染周围环境，项目对储罐区均设置了1m高的围堰。</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（3）公用工程设施</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公用工程设施区布置在厂区的东侧和南侧，公用工程设施集中布置，靠近负荷中心，便于生产管理，缩短管线，降低能耗，节省运行费用。</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其中：总变电所布置在厂区东侧边界，便于高压进线和向工艺装置及其他设施供电。</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循环水场、空压站布置在装置东侧，靠近工艺装置区，循环水管线较大，尽量减少管线长度，节省投资，方便施工。</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（4）辅助生产设施区</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辅助生产设施区由火炬设施、污水处理</w:t>
      </w:r>
      <w:r>
        <w:rPr>
          <w:rFonts w:hint="eastAsia" w:ascii="Times New Roman" w:hAnsi="Times New Roman" w:eastAsia="宋体" w:cs="Times New Roman"/>
          <w:sz w:val="24"/>
          <w:szCs w:val="24"/>
        </w:rPr>
        <w:t>站</w:t>
      </w:r>
      <w:r>
        <w:rPr>
          <w:rFonts w:ascii="Times New Roman" w:hAnsi="Times New Roman" w:eastAsia="宋体" w:cs="Times New Roman"/>
          <w:sz w:val="24"/>
          <w:szCs w:val="24"/>
        </w:rPr>
        <w:t>，事故水池等组成的辅助生产设施区，根据工艺流程和各自的生产特点，分别布置如下：</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地面火炬位于西南角的厂区边缘。与周围设施的距离，均在防火间距允许的范围内。</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污水处理</w:t>
      </w:r>
      <w:r>
        <w:rPr>
          <w:rFonts w:hint="eastAsia" w:ascii="Times New Roman" w:hAnsi="Times New Roman" w:eastAsia="宋体" w:cs="Times New Roman"/>
          <w:sz w:val="24"/>
          <w:szCs w:val="24"/>
        </w:rPr>
        <w:t>站</w:t>
      </w:r>
      <w:r>
        <w:rPr>
          <w:rFonts w:ascii="Times New Roman" w:hAnsi="Times New Roman" w:eastAsia="宋体" w:cs="Times New Roman"/>
          <w:sz w:val="24"/>
          <w:szCs w:val="24"/>
        </w:rPr>
        <w:t>、事故水池位于厂区南侧边缘，减少对周围环境的影响，且便于处理合格的污水向园区的污水管网系统排放。</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（5）生产管理区</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由研发中心、中心控制室、化验室、备品备件库等组成。</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研发中心，为三层建筑，设厂区生产管理办公用房和员工倒班休息室等。研发中心设置围墙与厂区分隔，便于管理。</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中心控制室布置在厂区的东侧；备品备件库等布置在厂区的南侧。</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化验室布置在装卸车设施区域内</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本项目变更前后</w:t>
      </w:r>
      <w:r>
        <w:rPr>
          <w:rFonts w:ascii="Times New Roman" w:hAnsi="Times New Roman" w:eastAsia="宋体" w:cs="Times New Roman"/>
          <w:sz w:val="24"/>
          <w:szCs w:val="24"/>
        </w:rPr>
        <w:t>平面布置图</w:t>
      </w:r>
      <w:r>
        <w:rPr>
          <w:rFonts w:hint="eastAsia" w:ascii="Times New Roman" w:hAnsi="Times New Roman" w:eastAsia="宋体" w:cs="Times New Roman"/>
          <w:sz w:val="24"/>
          <w:szCs w:val="24"/>
        </w:rPr>
        <w:t>见</w:t>
      </w:r>
      <w:r>
        <w:rPr>
          <w:rFonts w:hint="eastAsia" w:ascii="Times New Roman" w:hAnsi="Times New Roman" w:eastAsia="宋体" w:cs="Times New Roman"/>
          <w:b/>
          <w:sz w:val="24"/>
          <w:szCs w:val="24"/>
        </w:rPr>
        <w:t>附图七。</w:t>
      </w:r>
    </w:p>
    <w:bookmarkEnd w:id="31"/>
    <w:p>
      <w:pPr>
        <w:pStyle w:val="39"/>
        <w:rPr>
          <w:color w:val="auto"/>
        </w:rPr>
      </w:pPr>
      <w:bookmarkStart w:id="32" w:name="_Toc8391535"/>
      <w:r>
        <w:rPr>
          <w:rFonts w:hint="eastAsia"/>
          <w:color w:val="auto"/>
        </w:rPr>
        <w:t>3.3 原辅材料与资源能源</w:t>
      </w:r>
      <w:bookmarkEnd w:id="32"/>
    </w:p>
    <w:p>
      <w:pPr>
        <w:spacing w:line="48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项目变更后，原料部分去掉</w:t>
      </w:r>
      <w:r>
        <w:rPr>
          <w:rFonts w:ascii="Times New Roman" w:hAnsi="Times New Roman" w:eastAsia="宋体" w:cs="Times New Roman"/>
          <w:b/>
          <w:sz w:val="24"/>
          <w:szCs w:val="24"/>
        </w:rPr>
        <w:t>251-001-08</w:t>
      </w:r>
      <w:r>
        <w:rPr>
          <w:rFonts w:hint="eastAsia" w:ascii="Times New Roman" w:hAnsi="Times New Roman" w:eastAsia="宋体" w:cs="Times New Roman"/>
          <w:b/>
          <w:sz w:val="24"/>
          <w:szCs w:val="24"/>
        </w:rPr>
        <w:t>和</w:t>
      </w:r>
      <w:r>
        <w:rPr>
          <w:rFonts w:ascii="Times New Roman" w:hAnsi="Times New Roman" w:eastAsia="宋体" w:cs="Times New Roman"/>
          <w:b/>
          <w:sz w:val="24"/>
          <w:szCs w:val="24"/>
        </w:rPr>
        <w:t>251-005-08</w:t>
      </w:r>
      <w:r>
        <w:rPr>
          <w:rFonts w:hint="eastAsia" w:ascii="Times New Roman" w:hAnsi="Times New Roman" w:eastAsia="宋体" w:cs="Times New Roman"/>
          <w:b/>
          <w:sz w:val="24"/>
          <w:szCs w:val="24"/>
        </w:rPr>
        <w:t>两个类别的废矿物油与含矿物油废物，总处理规模不变，这两个类别的废矿物油处理量较小，占总处理量比重较轻。导热介质发生了变化，由熔盐变为导热油，原辅材料中去掉了糠醛，其他原辅材料种类及用量不变，天然气、蒸汽及冷凝水用量减少。</w:t>
      </w:r>
    </w:p>
    <w:p>
      <w:pPr>
        <w:spacing w:line="480" w:lineRule="exact"/>
        <w:ind w:firstLine="480" w:firstLineChars="200"/>
        <w:rPr>
          <w:rFonts w:ascii="Times New Roman" w:hAnsi="Times New Roman" w:eastAsia="黑体" w:cs="Times New Roman"/>
          <w:sz w:val="24"/>
        </w:rPr>
      </w:pPr>
      <w:r>
        <w:rPr>
          <w:rFonts w:hint="eastAsia" w:ascii="Times New Roman" w:hAnsi="Times New Roman" w:eastAsia="黑体" w:cs="Times New Roman"/>
          <w:sz w:val="24"/>
        </w:rPr>
        <w:t>表3.3</w:t>
      </w:r>
      <w:r>
        <w:rPr>
          <w:rFonts w:ascii="Times New Roman" w:hAnsi="Times New Roman" w:eastAsia="黑体" w:cs="Times New Roman"/>
          <w:sz w:val="24"/>
        </w:rPr>
        <w:t xml:space="preserve">-1    </w:t>
      </w:r>
      <w:r>
        <w:rPr>
          <w:rFonts w:hint="eastAsia" w:ascii="Times New Roman" w:hAnsi="Times New Roman" w:eastAsia="黑体" w:cs="Times New Roman"/>
          <w:sz w:val="24"/>
        </w:rPr>
        <w:t>本项目变更前后原辅料及资源能源变化情况一览表</w:t>
      </w:r>
    </w:p>
    <w:tbl>
      <w:tblPr>
        <w:tblStyle w:val="19"/>
        <w:tblW w:w="8300" w:type="dxa"/>
        <w:jc w:val="center"/>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491"/>
        <w:gridCol w:w="2120"/>
        <w:gridCol w:w="1051"/>
        <w:gridCol w:w="1225"/>
        <w:gridCol w:w="1710"/>
        <w:gridCol w:w="170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jc w:val="center"/>
        </w:trPr>
        <w:tc>
          <w:tcPr>
            <w:tcW w:w="491" w:type="dxa"/>
            <w:vMerge w:val="restart"/>
            <w:vAlign w:val="center"/>
          </w:tcPr>
          <w:p>
            <w:pPr>
              <w:spacing w:line="240" w:lineRule="exact"/>
              <w:jc w:val="center"/>
              <w:rPr>
                <w:rFonts w:ascii="Times New Roman" w:hAnsi="Times New Roman" w:eastAsia="宋体"/>
                <w:szCs w:val="21"/>
              </w:rPr>
            </w:pPr>
            <w:r>
              <w:rPr>
                <w:rFonts w:ascii="Times New Roman" w:hAnsi="Times New Roman" w:eastAsia="宋体"/>
                <w:szCs w:val="21"/>
              </w:rPr>
              <w:t>序号</w:t>
            </w:r>
          </w:p>
        </w:tc>
        <w:tc>
          <w:tcPr>
            <w:tcW w:w="2120" w:type="dxa"/>
            <w:vMerge w:val="restart"/>
            <w:vAlign w:val="center"/>
          </w:tcPr>
          <w:p>
            <w:pPr>
              <w:spacing w:line="240" w:lineRule="exact"/>
              <w:jc w:val="center"/>
              <w:rPr>
                <w:rFonts w:ascii="Times New Roman" w:hAnsi="Times New Roman" w:eastAsia="宋体"/>
                <w:szCs w:val="21"/>
              </w:rPr>
            </w:pPr>
            <w:r>
              <w:rPr>
                <w:rFonts w:ascii="Times New Roman" w:hAnsi="Times New Roman" w:eastAsia="宋体"/>
                <w:szCs w:val="21"/>
              </w:rPr>
              <w:t>项目名称</w:t>
            </w:r>
          </w:p>
        </w:tc>
        <w:tc>
          <w:tcPr>
            <w:tcW w:w="1051" w:type="dxa"/>
            <w:vMerge w:val="restart"/>
            <w:vAlign w:val="center"/>
          </w:tcPr>
          <w:p>
            <w:pPr>
              <w:spacing w:line="240" w:lineRule="exact"/>
              <w:jc w:val="center"/>
              <w:rPr>
                <w:rFonts w:ascii="Times New Roman" w:hAnsi="Times New Roman" w:eastAsia="宋体"/>
                <w:szCs w:val="21"/>
              </w:rPr>
            </w:pPr>
            <w:r>
              <w:rPr>
                <w:rFonts w:ascii="Times New Roman" w:hAnsi="Times New Roman" w:eastAsia="宋体"/>
                <w:szCs w:val="21"/>
              </w:rPr>
              <w:t>单位</w:t>
            </w:r>
          </w:p>
        </w:tc>
        <w:tc>
          <w:tcPr>
            <w:tcW w:w="2935" w:type="dxa"/>
            <w:gridSpan w:val="2"/>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用量</w:t>
            </w:r>
          </w:p>
        </w:tc>
        <w:tc>
          <w:tcPr>
            <w:tcW w:w="1703" w:type="dxa"/>
            <w:vMerge w:val="restart"/>
            <w:vAlign w:val="center"/>
          </w:tcPr>
          <w:p>
            <w:pPr>
              <w:spacing w:line="240" w:lineRule="exact"/>
              <w:jc w:val="center"/>
              <w:rPr>
                <w:rFonts w:ascii="Times New Roman" w:hAnsi="Times New Roman" w:eastAsia="宋体"/>
                <w:szCs w:val="21"/>
              </w:rPr>
            </w:pPr>
            <w:r>
              <w:rPr>
                <w:rFonts w:ascii="Times New Roman" w:hAnsi="Times New Roman" w:eastAsia="宋体"/>
                <w:szCs w:val="21"/>
              </w:rPr>
              <w:t>备注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jc w:val="center"/>
        </w:trPr>
        <w:tc>
          <w:tcPr>
            <w:tcW w:w="491" w:type="dxa"/>
            <w:vMerge w:val="continue"/>
            <w:vAlign w:val="center"/>
          </w:tcPr>
          <w:p>
            <w:pPr>
              <w:widowControl/>
              <w:spacing w:line="240" w:lineRule="exact"/>
              <w:jc w:val="center"/>
              <w:rPr>
                <w:rFonts w:ascii="Times New Roman" w:hAnsi="Times New Roman" w:eastAsia="宋体"/>
                <w:szCs w:val="21"/>
              </w:rPr>
            </w:pPr>
          </w:p>
        </w:tc>
        <w:tc>
          <w:tcPr>
            <w:tcW w:w="2120" w:type="dxa"/>
            <w:vMerge w:val="continue"/>
            <w:vAlign w:val="center"/>
          </w:tcPr>
          <w:p>
            <w:pPr>
              <w:widowControl/>
              <w:spacing w:line="240" w:lineRule="exact"/>
              <w:jc w:val="center"/>
              <w:rPr>
                <w:rFonts w:ascii="Times New Roman" w:hAnsi="Times New Roman" w:eastAsia="宋体"/>
                <w:szCs w:val="21"/>
              </w:rPr>
            </w:pPr>
          </w:p>
        </w:tc>
        <w:tc>
          <w:tcPr>
            <w:tcW w:w="1051" w:type="dxa"/>
            <w:vMerge w:val="continue"/>
            <w:vAlign w:val="center"/>
          </w:tcPr>
          <w:p>
            <w:pPr>
              <w:spacing w:line="240" w:lineRule="exact"/>
              <w:jc w:val="center"/>
              <w:rPr>
                <w:rFonts w:ascii="Times New Roman" w:hAnsi="Times New Roman" w:eastAsia="宋体"/>
                <w:szCs w:val="21"/>
              </w:rPr>
            </w:pPr>
          </w:p>
        </w:tc>
        <w:tc>
          <w:tcPr>
            <w:tcW w:w="1225"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变更前</w:t>
            </w:r>
          </w:p>
        </w:tc>
        <w:tc>
          <w:tcPr>
            <w:tcW w:w="1710"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变更后</w:t>
            </w:r>
          </w:p>
        </w:tc>
        <w:tc>
          <w:tcPr>
            <w:tcW w:w="1703" w:type="dxa"/>
            <w:vMerge w:val="continue"/>
            <w:vAlign w:val="center"/>
          </w:tcPr>
          <w:p>
            <w:pPr>
              <w:spacing w:line="240" w:lineRule="exact"/>
              <w:jc w:val="center"/>
              <w:rPr>
                <w:rFonts w:ascii="Times New Roman" w:hAnsi="Times New Roman" w:eastAsia="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91" w:type="dxa"/>
            <w:vAlign w:val="center"/>
          </w:tcPr>
          <w:p>
            <w:pPr>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一</w:t>
            </w:r>
          </w:p>
        </w:tc>
        <w:tc>
          <w:tcPr>
            <w:tcW w:w="2120" w:type="dxa"/>
            <w:vAlign w:val="center"/>
          </w:tcPr>
          <w:p>
            <w:pPr>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主要原辅材料用量</w:t>
            </w:r>
          </w:p>
        </w:tc>
        <w:tc>
          <w:tcPr>
            <w:tcW w:w="1051" w:type="dxa"/>
            <w:vAlign w:val="center"/>
          </w:tcPr>
          <w:p>
            <w:pPr>
              <w:keepNext/>
              <w:keepLines/>
              <w:spacing w:line="240" w:lineRule="exact"/>
              <w:jc w:val="center"/>
              <w:rPr>
                <w:rFonts w:ascii="Times New Roman" w:hAnsi="Times New Roman" w:eastAsia="宋体" w:cs="Times New Roman"/>
                <w:szCs w:val="21"/>
              </w:rPr>
            </w:pPr>
          </w:p>
        </w:tc>
        <w:tc>
          <w:tcPr>
            <w:tcW w:w="1225" w:type="dxa"/>
            <w:vAlign w:val="center"/>
          </w:tcPr>
          <w:p>
            <w:pPr>
              <w:keepNext/>
              <w:keepLines/>
              <w:spacing w:line="240" w:lineRule="exact"/>
              <w:jc w:val="center"/>
              <w:rPr>
                <w:rFonts w:ascii="Times New Roman" w:hAnsi="Times New Roman" w:eastAsia="宋体" w:cs="Times New Roman"/>
                <w:szCs w:val="21"/>
              </w:rPr>
            </w:pPr>
          </w:p>
        </w:tc>
        <w:tc>
          <w:tcPr>
            <w:tcW w:w="1710" w:type="dxa"/>
            <w:vAlign w:val="center"/>
          </w:tcPr>
          <w:p>
            <w:pPr>
              <w:keepNext/>
              <w:keepLines/>
              <w:spacing w:line="240" w:lineRule="exact"/>
              <w:jc w:val="center"/>
              <w:rPr>
                <w:rFonts w:ascii="Times New Roman" w:hAnsi="Times New Roman" w:eastAsia="宋体" w:cs="Times New Roman"/>
                <w:szCs w:val="21"/>
              </w:rPr>
            </w:pPr>
          </w:p>
        </w:tc>
        <w:tc>
          <w:tcPr>
            <w:tcW w:w="1703" w:type="dxa"/>
            <w:vAlign w:val="center"/>
          </w:tcPr>
          <w:p>
            <w:pPr>
              <w:keepNext/>
              <w:keepLines/>
              <w:spacing w:line="240" w:lineRule="exact"/>
              <w:jc w:val="center"/>
              <w:rPr>
                <w:rFonts w:ascii="Times New Roman" w:hAnsi="Times New Roman" w:eastAsia="宋体" w:cs="Times New Roman"/>
                <w:szCs w:val="21"/>
              </w:rPr>
            </w:pPr>
            <w:bookmarkStart w:id="33" w:name="_Toc11843"/>
            <w:r>
              <w:rPr>
                <w:rFonts w:ascii="Times New Roman" w:hAnsi="Times New Roman" w:eastAsia="宋体" w:cs="Times New Roman"/>
                <w:szCs w:val="21"/>
              </w:rPr>
              <w:t>—</w:t>
            </w:r>
            <w:bookmarkEnd w:id="33"/>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91"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2120"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废矿物油</w:t>
            </w:r>
          </w:p>
        </w:tc>
        <w:tc>
          <w:tcPr>
            <w:tcW w:w="105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w:t>
            </w:r>
            <w:r>
              <w:rPr>
                <w:rFonts w:ascii="Times New Roman" w:hAnsi="Times New Roman" w:eastAsia="宋体" w:cs="Times New Roman"/>
                <w:szCs w:val="21"/>
                <w:vertAlign w:val="superscript"/>
              </w:rPr>
              <w:t>4</w:t>
            </w:r>
            <w:r>
              <w:rPr>
                <w:rFonts w:ascii="Times New Roman" w:hAnsi="Times New Roman" w:eastAsia="宋体" w:cs="Times New Roman"/>
                <w:szCs w:val="21"/>
              </w:rPr>
              <w:t>t/a</w:t>
            </w:r>
          </w:p>
        </w:tc>
        <w:tc>
          <w:tcPr>
            <w:tcW w:w="1225"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c>
          <w:tcPr>
            <w:tcW w:w="1710"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c>
          <w:tcPr>
            <w:tcW w:w="1703" w:type="dxa"/>
            <w:vAlign w:val="center"/>
          </w:tcPr>
          <w:p>
            <w:pPr>
              <w:keepNext/>
              <w:keepLines/>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不变</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91"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2120" w:type="dxa"/>
            <w:vAlign w:val="center"/>
          </w:tcPr>
          <w:p>
            <w:pPr>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丙烷</w:t>
            </w:r>
          </w:p>
        </w:tc>
        <w:tc>
          <w:tcPr>
            <w:tcW w:w="1051" w:type="dxa"/>
            <w:vAlign w:val="center"/>
          </w:tcPr>
          <w:p>
            <w:pPr>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t/a</w:t>
            </w:r>
          </w:p>
        </w:tc>
        <w:tc>
          <w:tcPr>
            <w:tcW w:w="1225" w:type="dxa"/>
            <w:vAlign w:val="center"/>
          </w:tcPr>
          <w:p>
            <w:pPr>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260</w:t>
            </w:r>
          </w:p>
        </w:tc>
        <w:tc>
          <w:tcPr>
            <w:tcW w:w="1710" w:type="dxa"/>
            <w:vAlign w:val="center"/>
          </w:tcPr>
          <w:p>
            <w:pPr>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260</w:t>
            </w:r>
          </w:p>
        </w:tc>
        <w:tc>
          <w:tcPr>
            <w:tcW w:w="1703" w:type="dxa"/>
            <w:vAlign w:val="center"/>
          </w:tcPr>
          <w:p>
            <w:pPr>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szCs w:val="21"/>
              </w:rPr>
              <w:t>不变</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91"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2120" w:type="dxa"/>
            <w:vAlign w:val="center"/>
          </w:tcPr>
          <w:p>
            <w:pPr>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糠醛</w:t>
            </w:r>
          </w:p>
        </w:tc>
        <w:tc>
          <w:tcPr>
            <w:tcW w:w="1051" w:type="dxa"/>
            <w:vAlign w:val="center"/>
          </w:tcPr>
          <w:p>
            <w:pPr>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t/a</w:t>
            </w:r>
          </w:p>
        </w:tc>
        <w:tc>
          <w:tcPr>
            <w:tcW w:w="1225" w:type="dxa"/>
            <w:vAlign w:val="center"/>
          </w:tcPr>
          <w:p>
            <w:pPr>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120</w:t>
            </w:r>
          </w:p>
        </w:tc>
        <w:tc>
          <w:tcPr>
            <w:tcW w:w="1710" w:type="dxa"/>
            <w:vAlign w:val="center"/>
          </w:tcPr>
          <w:p>
            <w:pPr>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w:t>
            </w:r>
          </w:p>
        </w:tc>
        <w:tc>
          <w:tcPr>
            <w:tcW w:w="1703" w:type="dxa"/>
            <w:vAlign w:val="center"/>
          </w:tcPr>
          <w:p>
            <w:pPr>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szCs w:val="21"/>
              </w:rPr>
              <w:t>去掉糠醛</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91"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2120" w:type="dxa"/>
            <w:vAlign w:val="center"/>
          </w:tcPr>
          <w:p>
            <w:pPr>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分子筛</w:t>
            </w:r>
          </w:p>
        </w:tc>
        <w:tc>
          <w:tcPr>
            <w:tcW w:w="1051" w:type="dxa"/>
            <w:vAlign w:val="center"/>
          </w:tcPr>
          <w:p>
            <w:pPr>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万t/a</w:t>
            </w:r>
          </w:p>
        </w:tc>
        <w:tc>
          <w:tcPr>
            <w:tcW w:w="1225" w:type="dxa"/>
            <w:vAlign w:val="center"/>
          </w:tcPr>
          <w:p>
            <w:pPr>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710" w:type="dxa"/>
            <w:vAlign w:val="center"/>
          </w:tcPr>
          <w:p>
            <w:pPr>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703" w:type="dxa"/>
            <w:vAlign w:val="center"/>
          </w:tcPr>
          <w:p>
            <w:pPr>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szCs w:val="21"/>
              </w:rPr>
              <w:t>不变</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91" w:type="dxa"/>
            <w:vAlign w:val="center"/>
          </w:tcPr>
          <w:p>
            <w:pPr>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二</w:t>
            </w:r>
          </w:p>
        </w:tc>
        <w:tc>
          <w:tcPr>
            <w:tcW w:w="2120" w:type="dxa"/>
            <w:vAlign w:val="center"/>
          </w:tcPr>
          <w:p>
            <w:pPr>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动力消耗量</w:t>
            </w:r>
          </w:p>
        </w:tc>
        <w:tc>
          <w:tcPr>
            <w:tcW w:w="1051" w:type="dxa"/>
            <w:vAlign w:val="center"/>
          </w:tcPr>
          <w:p>
            <w:pPr>
              <w:keepNext/>
              <w:keepLines/>
              <w:spacing w:line="240" w:lineRule="exact"/>
              <w:jc w:val="center"/>
              <w:rPr>
                <w:rFonts w:ascii="Times New Roman" w:hAnsi="Times New Roman" w:eastAsia="宋体" w:cs="Times New Roman"/>
                <w:szCs w:val="21"/>
              </w:rPr>
            </w:pPr>
          </w:p>
        </w:tc>
        <w:tc>
          <w:tcPr>
            <w:tcW w:w="1225" w:type="dxa"/>
            <w:vAlign w:val="center"/>
          </w:tcPr>
          <w:p>
            <w:pPr>
              <w:widowControl/>
              <w:spacing w:line="240" w:lineRule="exact"/>
              <w:jc w:val="center"/>
              <w:textAlignment w:val="center"/>
              <w:rPr>
                <w:rFonts w:ascii="Times New Roman" w:hAnsi="Times New Roman" w:eastAsia="宋体" w:cs="Times New Roman"/>
                <w:kern w:val="0"/>
                <w:szCs w:val="21"/>
              </w:rPr>
            </w:pPr>
          </w:p>
        </w:tc>
        <w:tc>
          <w:tcPr>
            <w:tcW w:w="1710" w:type="dxa"/>
            <w:vAlign w:val="center"/>
          </w:tcPr>
          <w:p>
            <w:pPr>
              <w:keepNext/>
              <w:keepLines/>
              <w:spacing w:line="240" w:lineRule="exact"/>
              <w:jc w:val="center"/>
              <w:rPr>
                <w:rFonts w:ascii="Times New Roman" w:hAnsi="Times New Roman" w:eastAsia="宋体" w:cs="Times New Roman"/>
                <w:szCs w:val="21"/>
              </w:rPr>
            </w:pPr>
          </w:p>
        </w:tc>
        <w:tc>
          <w:tcPr>
            <w:tcW w:w="1703" w:type="dxa"/>
            <w:vAlign w:val="center"/>
          </w:tcPr>
          <w:p>
            <w:pPr>
              <w:keepNext/>
              <w:keepLines/>
              <w:spacing w:line="240" w:lineRule="exact"/>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91"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2120"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电</w:t>
            </w:r>
          </w:p>
        </w:tc>
        <w:tc>
          <w:tcPr>
            <w:tcW w:w="105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kWh/h</w:t>
            </w:r>
          </w:p>
        </w:tc>
        <w:tc>
          <w:tcPr>
            <w:tcW w:w="1225"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2590</w:t>
            </w:r>
          </w:p>
        </w:tc>
        <w:tc>
          <w:tcPr>
            <w:tcW w:w="1710"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2590</w:t>
            </w:r>
          </w:p>
        </w:tc>
        <w:tc>
          <w:tcPr>
            <w:tcW w:w="1703" w:type="dxa"/>
            <w:vAlign w:val="center"/>
          </w:tcPr>
          <w:p>
            <w:pPr>
              <w:keepNext/>
              <w:keepLines/>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不变</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91"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2120"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天然气</w:t>
            </w:r>
          </w:p>
        </w:tc>
        <w:tc>
          <w:tcPr>
            <w:tcW w:w="105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w:t>
            </w:r>
            <w:r>
              <w:rPr>
                <w:rFonts w:ascii="Times New Roman" w:hAnsi="Times New Roman" w:eastAsia="宋体" w:cs="Times New Roman"/>
                <w:szCs w:val="21"/>
                <w:vertAlign w:val="superscript"/>
              </w:rPr>
              <w:t>4</w:t>
            </w:r>
            <w:r>
              <w:rPr>
                <w:rFonts w:ascii="Times New Roman" w:hAnsi="Times New Roman" w:eastAsia="宋体" w:cs="Times New Roman"/>
                <w:szCs w:val="21"/>
              </w:rPr>
              <w:t>Nm</w:t>
            </w:r>
            <w:r>
              <w:rPr>
                <w:rFonts w:ascii="Times New Roman" w:hAnsi="Times New Roman" w:eastAsia="宋体" w:cs="Times New Roman"/>
                <w:szCs w:val="21"/>
                <w:vertAlign w:val="superscript"/>
              </w:rPr>
              <w:t>3</w:t>
            </w:r>
            <w:r>
              <w:rPr>
                <w:rFonts w:ascii="Times New Roman" w:hAnsi="Times New Roman" w:eastAsia="宋体" w:cs="Times New Roman"/>
                <w:szCs w:val="21"/>
              </w:rPr>
              <w:t>/a</w:t>
            </w:r>
          </w:p>
        </w:tc>
        <w:tc>
          <w:tcPr>
            <w:tcW w:w="1225"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981.6</w:t>
            </w:r>
          </w:p>
        </w:tc>
        <w:tc>
          <w:tcPr>
            <w:tcW w:w="1710"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653.4</w:t>
            </w:r>
          </w:p>
        </w:tc>
        <w:tc>
          <w:tcPr>
            <w:tcW w:w="1703" w:type="dxa"/>
            <w:vAlign w:val="center"/>
          </w:tcPr>
          <w:p>
            <w:pPr>
              <w:keepNext/>
              <w:keepLines/>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减少</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91"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2120"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新鲜水</w:t>
            </w:r>
          </w:p>
        </w:tc>
        <w:tc>
          <w:tcPr>
            <w:tcW w:w="105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3</w:t>
            </w:r>
            <w:r>
              <w:rPr>
                <w:rFonts w:ascii="Times New Roman" w:hAnsi="Times New Roman" w:eastAsia="宋体" w:cs="Times New Roman"/>
                <w:szCs w:val="21"/>
              </w:rPr>
              <w:t>/d</w:t>
            </w:r>
          </w:p>
        </w:tc>
        <w:tc>
          <w:tcPr>
            <w:tcW w:w="1225"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499.2</w:t>
            </w:r>
          </w:p>
        </w:tc>
        <w:tc>
          <w:tcPr>
            <w:tcW w:w="1710"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499.2</w:t>
            </w:r>
          </w:p>
        </w:tc>
        <w:tc>
          <w:tcPr>
            <w:tcW w:w="1703" w:type="dxa"/>
            <w:vAlign w:val="center"/>
          </w:tcPr>
          <w:p>
            <w:pPr>
              <w:keepNext/>
              <w:keepLines/>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不变</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91"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2120"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1.0MPa蒸汽</w:t>
            </w:r>
          </w:p>
        </w:tc>
        <w:tc>
          <w:tcPr>
            <w:tcW w:w="105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t/h</w:t>
            </w:r>
          </w:p>
        </w:tc>
        <w:tc>
          <w:tcPr>
            <w:tcW w:w="1225"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11.1</w:t>
            </w:r>
          </w:p>
        </w:tc>
        <w:tc>
          <w:tcPr>
            <w:tcW w:w="1710"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7.3</w:t>
            </w:r>
          </w:p>
        </w:tc>
        <w:tc>
          <w:tcPr>
            <w:tcW w:w="1703" w:type="dxa"/>
            <w:vAlign w:val="center"/>
          </w:tcPr>
          <w:p>
            <w:pPr>
              <w:keepNext/>
              <w:keepLines/>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减少</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91"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2120"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冷凝水</w:t>
            </w:r>
          </w:p>
        </w:tc>
        <w:tc>
          <w:tcPr>
            <w:tcW w:w="105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3</w:t>
            </w:r>
            <w:r>
              <w:rPr>
                <w:rFonts w:ascii="Times New Roman" w:hAnsi="Times New Roman" w:eastAsia="宋体" w:cs="Times New Roman"/>
                <w:szCs w:val="21"/>
              </w:rPr>
              <w:t>/d</w:t>
            </w:r>
          </w:p>
        </w:tc>
        <w:tc>
          <w:tcPr>
            <w:tcW w:w="1225"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237.6</w:t>
            </w:r>
          </w:p>
        </w:tc>
        <w:tc>
          <w:tcPr>
            <w:tcW w:w="1710"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155.9</w:t>
            </w:r>
          </w:p>
        </w:tc>
        <w:tc>
          <w:tcPr>
            <w:tcW w:w="1703" w:type="dxa"/>
            <w:vAlign w:val="center"/>
          </w:tcPr>
          <w:p>
            <w:pPr>
              <w:keepNext/>
              <w:keepLines/>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减少</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91"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2120"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净化压缩空气</w:t>
            </w:r>
          </w:p>
        </w:tc>
        <w:tc>
          <w:tcPr>
            <w:tcW w:w="105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Nm</w:t>
            </w:r>
            <w:r>
              <w:rPr>
                <w:rFonts w:ascii="Times New Roman" w:hAnsi="Times New Roman" w:eastAsia="宋体" w:cs="Times New Roman"/>
                <w:szCs w:val="21"/>
                <w:vertAlign w:val="superscript"/>
              </w:rPr>
              <w:t>3</w:t>
            </w:r>
            <w:r>
              <w:rPr>
                <w:rFonts w:ascii="Times New Roman" w:hAnsi="Times New Roman" w:eastAsia="宋体" w:cs="Times New Roman"/>
                <w:szCs w:val="21"/>
              </w:rPr>
              <w:t>/h</w:t>
            </w:r>
          </w:p>
        </w:tc>
        <w:tc>
          <w:tcPr>
            <w:tcW w:w="1225"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224</w:t>
            </w:r>
          </w:p>
        </w:tc>
        <w:tc>
          <w:tcPr>
            <w:tcW w:w="1710"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224</w:t>
            </w:r>
          </w:p>
        </w:tc>
        <w:tc>
          <w:tcPr>
            <w:tcW w:w="1703" w:type="dxa"/>
            <w:vAlign w:val="center"/>
          </w:tcPr>
          <w:p>
            <w:pPr>
              <w:keepNext/>
              <w:keepLines/>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不变</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91"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7</w:t>
            </w:r>
          </w:p>
        </w:tc>
        <w:tc>
          <w:tcPr>
            <w:tcW w:w="2120"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氮气</w:t>
            </w:r>
          </w:p>
        </w:tc>
        <w:tc>
          <w:tcPr>
            <w:tcW w:w="105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Nm</w:t>
            </w:r>
            <w:r>
              <w:rPr>
                <w:rFonts w:ascii="Times New Roman" w:hAnsi="Times New Roman" w:eastAsia="宋体" w:cs="Times New Roman"/>
                <w:szCs w:val="21"/>
                <w:vertAlign w:val="superscript"/>
              </w:rPr>
              <w:t>3</w:t>
            </w:r>
            <w:r>
              <w:rPr>
                <w:rFonts w:ascii="Times New Roman" w:hAnsi="Times New Roman" w:eastAsia="宋体" w:cs="Times New Roman"/>
                <w:szCs w:val="21"/>
              </w:rPr>
              <w:t>/h</w:t>
            </w:r>
          </w:p>
        </w:tc>
        <w:tc>
          <w:tcPr>
            <w:tcW w:w="1225"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60</w:t>
            </w:r>
          </w:p>
        </w:tc>
        <w:tc>
          <w:tcPr>
            <w:tcW w:w="1710" w:type="dxa"/>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60</w:t>
            </w:r>
          </w:p>
        </w:tc>
        <w:tc>
          <w:tcPr>
            <w:tcW w:w="1703" w:type="dxa"/>
            <w:vAlign w:val="center"/>
          </w:tcPr>
          <w:p>
            <w:pPr>
              <w:keepNext/>
              <w:keepLines/>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不变</w:t>
            </w:r>
          </w:p>
        </w:tc>
      </w:tr>
    </w:tbl>
    <w:p>
      <w:pPr>
        <w:pStyle w:val="39"/>
        <w:rPr>
          <w:color w:val="auto"/>
        </w:rPr>
      </w:pPr>
      <w:bookmarkStart w:id="34" w:name="_Toc8391536"/>
      <w:r>
        <w:rPr>
          <w:rFonts w:hint="eastAsia"/>
          <w:color w:val="auto"/>
        </w:rPr>
        <w:t>3.4 产品</w:t>
      </w:r>
      <w:bookmarkEnd w:id="34"/>
    </w:p>
    <w:p>
      <w:pPr>
        <w:spacing w:line="480" w:lineRule="exact"/>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本项目</w:t>
      </w:r>
      <w:r>
        <w:rPr>
          <w:rFonts w:hint="eastAsia" w:ascii="Times New Roman" w:hAnsi="Times New Roman" w:eastAsia="宋体" w:cs="Times New Roman"/>
          <w:b/>
          <w:sz w:val="24"/>
          <w:szCs w:val="24"/>
        </w:rPr>
        <w:t>变更前后废矿物油类别有细微变化，处理规模不变，产品种类、</w:t>
      </w:r>
      <w:r>
        <w:rPr>
          <w:rFonts w:ascii="Times New Roman" w:hAnsi="Times New Roman" w:eastAsia="宋体" w:cs="Times New Roman"/>
          <w:b/>
          <w:sz w:val="24"/>
          <w:szCs w:val="24"/>
        </w:rPr>
        <w:t>品质</w:t>
      </w:r>
      <w:r>
        <w:rPr>
          <w:rFonts w:hint="eastAsia" w:ascii="Times New Roman" w:hAnsi="Times New Roman" w:eastAsia="宋体" w:cs="Times New Roman"/>
          <w:b/>
          <w:sz w:val="24"/>
          <w:szCs w:val="24"/>
        </w:rPr>
        <w:t>与产量基本不变。</w:t>
      </w:r>
      <w:r>
        <w:rPr>
          <w:rFonts w:hint="eastAsia" w:ascii="Times New Roman" w:hAnsi="Times New Roman" w:eastAsia="宋体" w:cs="Times New Roman"/>
          <w:sz w:val="24"/>
          <w:szCs w:val="24"/>
        </w:rPr>
        <w:t>项目</w:t>
      </w:r>
      <w:r>
        <w:rPr>
          <w:rFonts w:ascii="Times New Roman" w:hAnsi="Times New Roman" w:eastAsia="宋体" w:cs="Times New Roman"/>
          <w:sz w:val="24"/>
          <w:szCs w:val="24"/>
        </w:rPr>
        <w:t>主要产品为基础油，副产品为</w:t>
      </w:r>
      <w:r>
        <w:rPr>
          <w:rFonts w:hint="eastAsia" w:ascii="Times New Roman" w:hAnsi="Times New Roman" w:eastAsia="宋体" w:cs="Times New Roman"/>
          <w:sz w:val="24"/>
          <w:szCs w:val="24"/>
        </w:rPr>
        <w:t>汽油</w:t>
      </w:r>
      <w:r>
        <w:rPr>
          <w:rFonts w:ascii="Times New Roman" w:hAnsi="Times New Roman" w:eastAsia="宋体" w:cs="Times New Roman"/>
          <w:sz w:val="24"/>
          <w:szCs w:val="24"/>
        </w:rPr>
        <w:t>、</w:t>
      </w:r>
      <w:r>
        <w:rPr>
          <w:rFonts w:hint="eastAsia" w:ascii="Times New Roman" w:hAnsi="Times New Roman" w:eastAsia="宋体" w:cs="Times New Roman"/>
          <w:sz w:val="24"/>
          <w:szCs w:val="24"/>
        </w:rPr>
        <w:t>燃料油、</w:t>
      </w:r>
      <w:r>
        <w:rPr>
          <w:rFonts w:ascii="Times New Roman" w:hAnsi="Times New Roman" w:eastAsia="宋体" w:cs="Times New Roman"/>
          <w:sz w:val="24"/>
          <w:szCs w:val="24"/>
        </w:rPr>
        <w:t>柴油</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沥青等，基础油和</w:t>
      </w:r>
      <w:r>
        <w:rPr>
          <w:rFonts w:hint="eastAsia" w:ascii="Times New Roman" w:hAnsi="Times New Roman" w:eastAsia="宋体" w:cs="Times New Roman"/>
          <w:sz w:val="24"/>
          <w:szCs w:val="24"/>
        </w:rPr>
        <w:t>副产品</w:t>
      </w:r>
      <w:r>
        <w:rPr>
          <w:rFonts w:ascii="Times New Roman" w:hAnsi="Times New Roman" w:eastAsia="宋体" w:cs="Times New Roman"/>
          <w:sz w:val="24"/>
          <w:szCs w:val="24"/>
        </w:rPr>
        <w:t>全部卖出。本项目运输方式均为汽车运输。</w:t>
      </w:r>
      <w:r>
        <w:rPr>
          <w:rFonts w:hint="eastAsia" w:ascii="Times New Roman" w:hAnsi="Times New Roman" w:eastAsia="宋体" w:cs="Times New Roman"/>
          <w:sz w:val="24"/>
          <w:szCs w:val="24"/>
        </w:rPr>
        <w:t>项目</w:t>
      </w:r>
      <w:r>
        <w:rPr>
          <w:rFonts w:ascii="Times New Roman" w:hAnsi="Times New Roman" w:eastAsia="宋体" w:cs="Times New Roman"/>
          <w:sz w:val="24"/>
          <w:szCs w:val="24"/>
        </w:rPr>
        <w:t>产品</w:t>
      </w:r>
      <w:r>
        <w:rPr>
          <w:rFonts w:hint="eastAsia" w:ascii="Times New Roman" w:hAnsi="Times New Roman" w:eastAsia="宋体" w:cs="Times New Roman"/>
          <w:sz w:val="24"/>
          <w:szCs w:val="24"/>
        </w:rPr>
        <w:t>方案</w:t>
      </w:r>
      <w:r>
        <w:rPr>
          <w:rFonts w:ascii="Times New Roman" w:hAnsi="Times New Roman" w:eastAsia="宋体" w:cs="Times New Roman"/>
          <w:sz w:val="24"/>
          <w:szCs w:val="24"/>
        </w:rPr>
        <w:t>见表3.4-1。</w:t>
      </w:r>
    </w:p>
    <w:p>
      <w:pPr>
        <w:spacing w:line="480" w:lineRule="exact"/>
        <w:ind w:firstLine="480" w:firstLineChars="200"/>
        <w:rPr>
          <w:rFonts w:ascii="Times New Roman" w:hAnsi="Times New Roman" w:eastAsia="黑体" w:cs="Times New Roman"/>
          <w:sz w:val="24"/>
        </w:rPr>
      </w:pPr>
      <w:r>
        <w:rPr>
          <w:rFonts w:ascii="Times New Roman" w:hAnsi="Times New Roman" w:eastAsia="黑体" w:cs="Times New Roman"/>
          <w:sz w:val="24"/>
        </w:rPr>
        <w:t>表3.4-1</w:t>
      </w:r>
      <w:r>
        <w:rPr>
          <w:rFonts w:hint="eastAsia" w:ascii="Times New Roman" w:hAnsi="Times New Roman" w:eastAsia="黑体" w:cs="Times New Roman"/>
          <w:sz w:val="24"/>
        </w:rPr>
        <w:t xml:space="preserve">              项目</w:t>
      </w:r>
      <w:r>
        <w:rPr>
          <w:rFonts w:ascii="Times New Roman" w:hAnsi="Times New Roman" w:eastAsia="黑体" w:cs="Times New Roman"/>
          <w:sz w:val="24"/>
        </w:rPr>
        <w:t>产品</w:t>
      </w:r>
      <w:r>
        <w:rPr>
          <w:rFonts w:hint="eastAsia" w:ascii="Times New Roman" w:hAnsi="Times New Roman" w:eastAsia="黑体" w:cs="Times New Roman"/>
          <w:sz w:val="24"/>
        </w:rPr>
        <w:t>方案</w:t>
      </w:r>
      <w:r>
        <w:rPr>
          <w:rFonts w:ascii="Times New Roman" w:hAnsi="Times New Roman" w:eastAsia="黑体" w:cs="Times New Roman"/>
          <w:sz w:val="24"/>
        </w:rPr>
        <w:t>一览表</w:t>
      </w:r>
    </w:p>
    <w:tbl>
      <w:tblPr>
        <w:tblStyle w:val="1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97"/>
        <w:gridCol w:w="2242"/>
        <w:gridCol w:w="1603"/>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824"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序号</w:t>
            </w:r>
          </w:p>
        </w:tc>
        <w:tc>
          <w:tcPr>
            <w:tcW w:w="1297"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物料类别</w:t>
            </w:r>
          </w:p>
        </w:tc>
        <w:tc>
          <w:tcPr>
            <w:tcW w:w="2242"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物料名称</w:t>
            </w:r>
          </w:p>
        </w:tc>
        <w:tc>
          <w:tcPr>
            <w:tcW w:w="1603"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年运量</w:t>
            </w:r>
          </w:p>
          <w:p>
            <w:pPr>
              <w:widowControl/>
              <w:jc w:val="center"/>
              <w:rPr>
                <w:rFonts w:ascii="Times New Roman" w:hAnsi="Times New Roman" w:eastAsia="宋体"/>
                <w:kern w:val="0"/>
                <w:szCs w:val="21"/>
              </w:rPr>
            </w:pPr>
            <w:r>
              <w:rPr>
                <w:rFonts w:ascii="Times New Roman" w:hAnsi="Times New Roman" w:eastAsia="宋体"/>
                <w:kern w:val="0"/>
                <w:szCs w:val="21"/>
              </w:rPr>
              <w:t>（万吨/年）</w:t>
            </w:r>
          </w:p>
        </w:tc>
        <w:tc>
          <w:tcPr>
            <w:tcW w:w="2330"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运输方式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4"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1</w:t>
            </w:r>
          </w:p>
        </w:tc>
        <w:tc>
          <w:tcPr>
            <w:tcW w:w="1297"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产品</w:t>
            </w:r>
          </w:p>
        </w:tc>
        <w:tc>
          <w:tcPr>
            <w:tcW w:w="2242"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75#基础油</w:t>
            </w:r>
          </w:p>
        </w:tc>
        <w:tc>
          <w:tcPr>
            <w:tcW w:w="1603"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1.24</w:t>
            </w:r>
          </w:p>
        </w:tc>
        <w:tc>
          <w:tcPr>
            <w:tcW w:w="2330"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公路出厂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4"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2</w:t>
            </w:r>
          </w:p>
        </w:tc>
        <w:tc>
          <w:tcPr>
            <w:tcW w:w="1297" w:type="dxa"/>
            <w:vMerge w:val="continue"/>
            <w:vAlign w:val="center"/>
          </w:tcPr>
          <w:p>
            <w:pPr>
              <w:widowControl/>
              <w:jc w:val="center"/>
              <w:rPr>
                <w:rFonts w:ascii="Times New Roman" w:hAnsi="Times New Roman" w:eastAsia="宋体"/>
                <w:kern w:val="0"/>
                <w:szCs w:val="21"/>
              </w:rPr>
            </w:pPr>
          </w:p>
        </w:tc>
        <w:tc>
          <w:tcPr>
            <w:tcW w:w="2242"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100#基础油</w:t>
            </w:r>
          </w:p>
        </w:tc>
        <w:tc>
          <w:tcPr>
            <w:tcW w:w="1603"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4.41</w:t>
            </w:r>
          </w:p>
        </w:tc>
        <w:tc>
          <w:tcPr>
            <w:tcW w:w="2330"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公路出厂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4"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3</w:t>
            </w:r>
          </w:p>
        </w:tc>
        <w:tc>
          <w:tcPr>
            <w:tcW w:w="1297" w:type="dxa"/>
            <w:vMerge w:val="continue"/>
            <w:vAlign w:val="center"/>
          </w:tcPr>
          <w:p>
            <w:pPr>
              <w:widowControl/>
              <w:jc w:val="center"/>
              <w:rPr>
                <w:rFonts w:ascii="Times New Roman" w:hAnsi="Times New Roman" w:eastAsia="宋体"/>
                <w:kern w:val="0"/>
                <w:szCs w:val="21"/>
              </w:rPr>
            </w:pPr>
          </w:p>
        </w:tc>
        <w:tc>
          <w:tcPr>
            <w:tcW w:w="2242"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150#基础油</w:t>
            </w:r>
          </w:p>
        </w:tc>
        <w:tc>
          <w:tcPr>
            <w:tcW w:w="1603"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2.13</w:t>
            </w:r>
          </w:p>
        </w:tc>
        <w:tc>
          <w:tcPr>
            <w:tcW w:w="2330"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公路出厂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4"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4</w:t>
            </w:r>
          </w:p>
        </w:tc>
        <w:tc>
          <w:tcPr>
            <w:tcW w:w="1297" w:type="dxa"/>
            <w:vMerge w:val="continue"/>
            <w:vAlign w:val="center"/>
          </w:tcPr>
          <w:p>
            <w:pPr>
              <w:widowControl/>
              <w:jc w:val="center"/>
              <w:rPr>
                <w:rFonts w:ascii="Times New Roman" w:hAnsi="Times New Roman" w:eastAsia="宋体"/>
                <w:kern w:val="0"/>
                <w:szCs w:val="21"/>
              </w:rPr>
            </w:pPr>
          </w:p>
        </w:tc>
        <w:tc>
          <w:tcPr>
            <w:tcW w:w="2242"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200#基础油</w:t>
            </w:r>
          </w:p>
        </w:tc>
        <w:tc>
          <w:tcPr>
            <w:tcW w:w="1603"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0.29</w:t>
            </w:r>
          </w:p>
        </w:tc>
        <w:tc>
          <w:tcPr>
            <w:tcW w:w="2330"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公路出厂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4"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5</w:t>
            </w:r>
          </w:p>
        </w:tc>
        <w:tc>
          <w:tcPr>
            <w:tcW w:w="1297" w:type="dxa"/>
            <w:vMerge w:val="restart"/>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副产品</w:t>
            </w:r>
          </w:p>
        </w:tc>
        <w:tc>
          <w:tcPr>
            <w:tcW w:w="2242" w:type="dxa"/>
            <w:vAlign w:val="center"/>
          </w:tcPr>
          <w:p>
            <w:pPr>
              <w:widowControl/>
              <w:jc w:val="center"/>
              <w:rPr>
                <w:rFonts w:ascii="Times New Roman" w:hAnsi="Times New Roman" w:eastAsia="宋体"/>
                <w:kern w:val="0"/>
                <w:sz w:val="20"/>
                <w:szCs w:val="21"/>
              </w:rPr>
            </w:pPr>
            <w:r>
              <w:rPr>
                <w:rFonts w:ascii="Times New Roman" w:hAnsi="Times New Roman" w:eastAsia="宋体"/>
                <w:kern w:val="0"/>
                <w:szCs w:val="21"/>
              </w:rPr>
              <w:t>汽油</w:t>
            </w:r>
          </w:p>
        </w:tc>
        <w:tc>
          <w:tcPr>
            <w:tcW w:w="1603" w:type="dxa"/>
            <w:vAlign w:val="center"/>
          </w:tcPr>
          <w:p>
            <w:pPr>
              <w:widowControl/>
              <w:jc w:val="center"/>
              <w:rPr>
                <w:rFonts w:ascii="Times New Roman" w:hAnsi="Times New Roman" w:eastAsia="宋体"/>
                <w:kern w:val="0"/>
                <w:sz w:val="20"/>
                <w:szCs w:val="21"/>
              </w:rPr>
            </w:pPr>
            <w:r>
              <w:rPr>
                <w:rFonts w:ascii="Times New Roman" w:hAnsi="Times New Roman" w:eastAsia="宋体"/>
                <w:kern w:val="0"/>
                <w:szCs w:val="21"/>
              </w:rPr>
              <w:t>0.27</w:t>
            </w:r>
          </w:p>
        </w:tc>
        <w:tc>
          <w:tcPr>
            <w:tcW w:w="2330" w:type="dxa"/>
            <w:vAlign w:val="center"/>
          </w:tcPr>
          <w:p>
            <w:pPr>
              <w:widowControl/>
              <w:jc w:val="center"/>
              <w:rPr>
                <w:rFonts w:ascii="Times New Roman" w:hAnsi="Times New Roman" w:eastAsia="宋体"/>
                <w:kern w:val="0"/>
                <w:sz w:val="20"/>
                <w:szCs w:val="21"/>
              </w:rPr>
            </w:pPr>
            <w:r>
              <w:rPr>
                <w:rFonts w:ascii="Times New Roman" w:hAnsi="Times New Roman" w:eastAsia="宋体"/>
                <w:kern w:val="0"/>
                <w:szCs w:val="21"/>
              </w:rPr>
              <w:t>公路出厂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4"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7</w:t>
            </w:r>
          </w:p>
        </w:tc>
        <w:tc>
          <w:tcPr>
            <w:tcW w:w="1297" w:type="dxa"/>
            <w:vMerge w:val="continue"/>
            <w:vAlign w:val="center"/>
          </w:tcPr>
          <w:p>
            <w:pPr>
              <w:widowControl/>
              <w:jc w:val="center"/>
              <w:rPr>
                <w:rFonts w:ascii="Times New Roman" w:hAnsi="Times New Roman" w:eastAsia="宋体"/>
                <w:kern w:val="0"/>
                <w:sz w:val="20"/>
                <w:szCs w:val="21"/>
              </w:rPr>
            </w:pPr>
          </w:p>
        </w:tc>
        <w:tc>
          <w:tcPr>
            <w:tcW w:w="2242"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燃料油</w:t>
            </w:r>
          </w:p>
        </w:tc>
        <w:tc>
          <w:tcPr>
            <w:tcW w:w="1603"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0.18</w:t>
            </w:r>
          </w:p>
        </w:tc>
        <w:tc>
          <w:tcPr>
            <w:tcW w:w="2330" w:type="dxa"/>
            <w:vAlign w:val="center"/>
          </w:tcPr>
          <w:p>
            <w:pPr>
              <w:widowControl/>
              <w:jc w:val="center"/>
              <w:rPr>
                <w:rFonts w:ascii="Times New Roman" w:hAnsi="Times New Roman" w:eastAsia="宋体"/>
                <w:kern w:val="0"/>
                <w:sz w:val="20"/>
                <w:szCs w:val="21"/>
              </w:rPr>
            </w:pPr>
            <w:r>
              <w:rPr>
                <w:rFonts w:ascii="Times New Roman" w:hAnsi="Times New Roman" w:eastAsia="宋体"/>
                <w:kern w:val="0"/>
                <w:szCs w:val="21"/>
              </w:rPr>
              <w:t>公路出厂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4"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8</w:t>
            </w:r>
          </w:p>
        </w:tc>
        <w:tc>
          <w:tcPr>
            <w:tcW w:w="1297" w:type="dxa"/>
            <w:vMerge w:val="continue"/>
            <w:vAlign w:val="center"/>
          </w:tcPr>
          <w:p>
            <w:pPr>
              <w:widowControl/>
              <w:jc w:val="center"/>
              <w:rPr>
                <w:rFonts w:ascii="Times New Roman" w:hAnsi="Times New Roman" w:eastAsia="宋体"/>
                <w:kern w:val="0"/>
                <w:sz w:val="20"/>
                <w:szCs w:val="21"/>
              </w:rPr>
            </w:pPr>
          </w:p>
        </w:tc>
        <w:tc>
          <w:tcPr>
            <w:tcW w:w="2242"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柴油</w:t>
            </w:r>
          </w:p>
        </w:tc>
        <w:tc>
          <w:tcPr>
            <w:tcW w:w="1603"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0.35</w:t>
            </w:r>
          </w:p>
        </w:tc>
        <w:tc>
          <w:tcPr>
            <w:tcW w:w="2330"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公路出厂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4"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9</w:t>
            </w:r>
          </w:p>
        </w:tc>
        <w:tc>
          <w:tcPr>
            <w:tcW w:w="1297" w:type="dxa"/>
            <w:vMerge w:val="continue"/>
            <w:vAlign w:val="center"/>
          </w:tcPr>
          <w:p>
            <w:pPr>
              <w:widowControl/>
              <w:jc w:val="center"/>
              <w:rPr>
                <w:rFonts w:ascii="Times New Roman" w:hAnsi="Times New Roman" w:eastAsia="宋体"/>
                <w:kern w:val="0"/>
                <w:sz w:val="20"/>
                <w:szCs w:val="21"/>
              </w:rPr>
            </w:pPr>
          </w:p>
        </w:tc>
        <w:tc>
          <w:tcPr>
            <w:tcW w:w="2242"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沥青</w:t>
            </w:r>
          </w:p>
        </w:tc>
        <w:tc>
          <w:tcPr>
            <w:tcW w:w="1603"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0.</w:t>
            </w:r>
            <w:r>
              <w:rPr>
                <w:rFonts w:hint="eastAsia" w:ascii="Times New Roman" w:hAnsi="Times New Roman" w:eastAsia="宋体"/>
                <w:kern w:val="0"/>
                <w:szCs w:val="21"/>
              </w:rPr>
              <w:t>78</w:t>
            </w:r>
          </w:p>
        </w:tc>
        <w:tc>
          <w:tcPr>
            <w:tcW w:w="2330" w:type="dxa"/>
            <w:vAlign w:val="center"/>
          </w:tcPr>
          <w:p>
            <w:pPr>
              <w:widowControl/>
              <w:jc w:val="center"/>
              <w:rPr>
                <w:rFonts w:ascii="Times New Roman" w:hAnsi="Times New Roman" w:eastAsia="宋体"/>
                <w:kern w:val="0"/>
                <w:sz w:val="20"/>
                <w:szCs w:val="21"/>
              </w:rPr>
            </w:pPr>
            <w:r>
              <w:rPr>
                <w:rFonts w:ascii="Times New Roman" w:hAnsi="Times New Roman" w:eastAsia="宋体"/>
                <w:kern w:val="0"/>
                <w:szCs w:val="21"/>
              </w:rPr>
              <w:t>公路出厂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63" w:type="dxa"/>
            <w:gridSpan w:val="3"/>
            <w:vAlign w:val="center"/>
          </w:tcPr>
          <w:p>
            <w:pPr>
              <w:widowControl/>
              <w:jc w:val="center"/>
              <w:rPr>
                <w:rFonts w:ascii="Times New Roman" w:hAnsi="Times New Roman" w:eastAsia="宋体"/>
                <w:kern w:val="0"/>
                <w:szCs w:val="21"/>
              </w:rPr>
            </w:pPr>
            <w:r>
              <w:rPr>
                <w:rFonts w:ascii="Times New Roman" w:hAnsi="Times New Roman" w:eastAsia="宋体"/>
                <w:kern w:val="0"/>
                <w:szCs w:val="21"/>
              </w:rPr>
              <w:t>合计</w:t>
            </w:r>
          </w:p>
        </w:tc>
        <w:tc>
          <w:tcPr>
            <w:tcW w:w="1603"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9.65</w:t>
            </w:r>
          </w:p>
        </w:tc>
        <w:tc>
          <w:tcPr>
            <w:tcW w:w="2330"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w:t>
            </w:r>
          </w:p>
        </w:tc>
      </w:tr>
    </w:tbl>
    <w:p>
      <w:pPr>
        <w:spacing w:line="480" w:lineRule="exact"/>
        <w:ind w:firstLine="480" w:firstLineChars="200"/>
        <w:rPr>
          <w:rFonts w:ascii="Times New Roman" w:hAnsi="Times New Roman" w:eastAsia="宋体" w:cs="Times New Roman"/>
          <w:sz w:val="24"/>
          <w:szCs w:val="24"/>
        </w:rPr>
      </w:pPr>
    </w:p>
    <w:p>
      <w:pPr>
        <w:pStyle w:val="39"/>
        <w:rPr>
          <w:color w:val="auto"/>
        </w:rPr>
      </w:pPr>
      <w:bookmarkStart w:id="35" w:name="_Toc8391537"/>
      <w:r>
        <w:rPr>
          <w:rFonts w:hint="eastAsia"/>
          <w:color w:val="auto"/>
        </w:rPr>
        <w:t>3.</w:t>
      </w:r>
      <w:r>
        <w:rPr>
          <w:color w:val="auto"/>
        </w:rPr>
        <w:t>5</w:t>
      </w:r>
      <w:r>
        <w:rPr>
          <w:rFonts w:hint="eastAsia"/>
          <w:color w:val="auto"/>
        </w:rPr>
        <w:t xml:space="preserve"> 主要生产设备</w:t>
      </w:r>
      <w:bookmarkEnd w:id="35"/>
    </w:p>
    <w:p>
      <w:pPr>
        <w:spacing w:before="80" w:after="80" w:line="520" w:lineRule="exact"/>
        <w:outlineLvl w:val="2"/>
        <w:rPr>
          <w:rFonts w:ascii="Times New Roman" w:hAnsi="Times New Roman" w:eastAsia="楷体" w:cs="Times New Roman"/>
          <w:sz w:val="28"/>
          <w:szCs w:val="28"/>
        </w:rPr>
      </w:pPr>
      <w:bookmarkStart w:id="36" w:name="_Toc8391538"/>
      <w:r>
        <w:rPr>
          <w:rFonts w:hint="eastAsia" w:ascii="Times New Roman" w:hAnsi="Times New Roman" w:eastAsia="楷体" w:cs="Times New Roman"/>
          <w:sz w:val="28"/>
          <w:szCs w:val="28"/>
        </w:rPr>
        <w:t>3.5.1 装置区生产设备</w:t>
      </w:r>
      <w:bookmarkEnd w:id="36"/>
    </w:p>
    <w:p>
      <w:pPr>
        <w:spacing w:line="48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项目变更后，减少了脱油泥、薄膜蒸发、</w:t>
      </w:r>
      <w:r>
        <w:rPr>
          <w:rFonts w:ascii="Times New Roman" w:hAnsi="Times New Roman" w:eastAsia="宋体" w:cs="Times New Roman"/>
          <w:b/>
          <w:sz w:val="24"/>
          <w:szCs w:val="24"/>
        </w:rPr>
        <w:t>糠醛</w:t>
      </w:r>
      <w:r>
        <w:rPr>
          <w:rFonts w:hint="eastAsia" w:ascii="Times New Roman" w:hAnsi="Times New Roman" w:eastAsia="宋体" w:cs="Times New Roman"/>
          <w:b/>
          <w:sz w:val="24"/>
          <w:szCs w:val="24"/>
        </w:rPr>
        <w:t>精制等配套设施，改变了供热设备（熔盐炉改为导热油炉</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。变更后项目设备情况见下表。</w:t>
      </w:r>
    </w:p>
    <w:p>
      <w:pPr>
        <w:spacing w:line="480" w:lineRule="exact"/>
        <w:ind w:firstLine="480" w:firstLineChars="200"/>
        <w:rPr>
          <w:rFonts w:ascii="Times New Roman" w:hAnsi="Times New Roman" w:eastAsia="宋体" w:cs="Times New Roman"/>
          <w:sz w:val="24"/>
          <w:szCs w:val="24"/>
        </w:rPr>
        <w:sectPr>
          <w:pgSz w:w="11906" w:h="16838"/>
          <w:pgMar w:top="1440" w:right="1800" w:bottom="1440" w:left="1800" w:header="851" w:footer="992" w:gutter="0"/>
          <w:cols w:space="425" w:num="1"/>
          <w:docGrid w:type="lines" w:linePitch="312" w:charSpace="0"/>
        </w:sectPr>
      </w:pPr>
    </w:p>
    <w:p>
      <w:pPr>
        <w:spacing w:line="480" w:lineRule="exact"/>
        <w:ind w:firstLine="480" w:firstLineChars="200"/>
        <w:rPr>
          <w:rFonts w:ascii="Times New Roman" w:hAnsi="Times New Roman" w:eastAsia="黑体" w:cs="Times New Roman"/>
          <w:sz w:val="24"/>
        </w:rPr>
      </w:pPr>
      <w:r>
        <w:rPr>
          <w:rFonts w:hint="eastAsia" w:ascii="Times New Roman" w:hAnsi="Times New Roman" w:eastAsia="黑体" w:cs="Times New Roman"/>
          <w:sz w:val="24"/>
        </w:rPr>
        <w:t>表</w:t>
      </w:r>
      <w:r>
        <w:rPr>
          <w:rFonts w:ascii="Times New Roman" w:hAnsi="Times New Roman" w:eastAsia="黑体" w:cs="Times New Roman"/>
          <w:sz w:val="24"/>
        </w:rPr>
        <w:t>3.5</w:t>
      </w:r>
      <w:r>
        <w:rPr>
          <w:rFonts w:hint="eastAsia" w:ascii="Times New Roman" w:hAnsi="Times New Roman" w:eastAsia="黑体" w:cs="Times New Roman"/>
          <w:sz w:val="24"/>
        </w:rPr>
        <w:t xml:space="preserve">-1                            </w:t>
      </w:r>
      <w:r>
        <w:rPr>
          <w:rFonts w:ascii="Times New Roman" w:hAnsi="Times New Roman" w:eastAsia="黑体" w:cs="Times New Roman"/>
          <w:sz w:val="24"/>
        </w:rPr>
        <w:t xml:space="preserve"> </w:t>
      </w:r>
      <w:r>
        <w:rPr>
          <w:rFonts w:hint="eastAsia" w:ascii="Times New Roman" w:hAnsi="Times New Roman" w:eastAsia="黑体" w:cs="Times New Roman"/>
          <w:sz w:val="24"/>
        </w:rPr>
        <w:t xml:space="preserve">   项目变更前后预处理单元主要设备一览表</w:t>
      </w:r>
    </w:p>
    <w:tbl>
      <w:tblPr>
        <w:tblStyle w:val="19"/>
        <w:tblW w:w="1394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1"/>
        <w:gridCol w:w="2474"/>
        <w:gridCol w:w="3699"/>
        <w:gridCol w:w="681"/>
        <w:gridCol w:w="2996"/>
        <w:gridCol w:w="2742"/>
        <w:gridCol w:w="67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681" w:type="dxa"/>
            <w:vMerge w:val="restart"/>
            <w:vAlign w:val="center"/>
          </w:tcPr>
          <w:p>
            <w:pPr>
              <w:pStyle w:val="47"/>
            </w:pPr>
            <w:r>
              <w:t>序号</w:t>
            </w:r>
          </w:p>
        </w:tc>
        <w:tc>
          <w:tcPr>
            <w:tcW w:w="6854" w:type="dxa"/>
            <w:gridSpan w:val="3"/>
            <w:vAlign w:val="center"/>
          </w:tcPr>
          <w:p>
            <w:pPr>
              <w:pStyle w:val="47"/>
            </w:pPr>
            <w:r>
              <w:rPr>
                <w:rFonts w:hint="eastAsia"/>
              </w:rPr>
              <w:t>变更前</w:t>
            </w:r>
          </w:p>
        </w:tc>
        <w:tc>
          <w:tcPr>
            <w:tcW w:w="6413" w:type="dxa"/>
            <w:gridSpan w:val="3"/>
          </w:tcPr>
          <w:p>
            <w:pPr>
              <w:pStyle w:val="47"/>
            </w:pPr>
            <w:r>
              <w:rPr>
                <w:rFonts w:hint="eastAsia"/>
              </w:rPr>
              <w:t>变更后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681" w:type="dxa"/>
            <w:vMerge w:val="continue"/>
            <w:tcBorders>
              <w:bottom w:val="single" w:color="auto" w:sz="4" w:space="0"/>
            </w:tcBorders>
            <w:vAlign w:val="center"/>
          </w:tcPr>
          <w:p>
            <w:pPr>
              <w:pStyle w:val="47"/>
            </w:pPr>
          </w:p>
        </w:tc>
        <w:tc>
          <w:tcPr>
            <w:tcW w:w="2474" w:type="dxa"/>
            <w:tcBorders>
              <w:bottom w:val="single" w:color="auto" w:sz="4" w:space="0"/>
            </w:tcBorders>
            <w:vAlign w:val="center"/>
          </w:tcPr>
          <w:p>
            <w:pPr>
              <w:pStyle w:val="47"/>
            </w:pPr>
            <w:r>
              <w:t>设备名称</w:t>
            </w:r>
          </w:p>
        </w:tc>
        <w:tc>
          <w:tcPr>
            <w:tcW w:w="3699" w:type="dxa"/>
            <w:tcBorders>
              <w:bottom w:val="single" w:color="auto" w:sz="4" w:space="0"/>
            </w:tcBorders>
            <w:vAlign w:val="center"/>
          </w:tcPr>
          <w:p>
            <w:pPr>
              <w:pStyle w:val="47"/>
            </w:pPr>
            <w:r>
              <w:t>规格型号</w:t>
            </w:r>
          </w:p>
        </w:tc>
        <w:tc>
          <w:tcPr>
            <w:tcW w:w="681" w:type="dxa"/>
            <w:tcBorders>
              <w:bottom w:val="single" w:color="auto" w:sz="4" w:space="0"/>
            </w:tcBorders>
            <w:vAlign w:val="center"/>
          </w:tcPr>
          <w:p>
            <w:pPr>
              <w:pStyle w:val="47"/>
            </w:pPr>
            <w:r>
              <w:t>台数</w:t>
            </w:r>
          </w:p>
        </w:tc>
        <w:tc>
          <w:tcPr>
            <w:tcW w:w="2996" w:type="dxa"/>
            <w:tcBorders>
              <w:bottom w:val="single" w:color="auto" w:sz="4" w:space="0"/>
            </w:tcBorders>
            <w:vAlign w:val="center"/>
          </w:tcPr>
          <w:p>
            <w:pPr>
              <w:pStyle w:val="47"/>
            </w:pPr>
            <w:r>
              <w:t>设备名称</w:t>
            </w:r>
          </w:p>
        </w:tc>
        <w:tc>
          <w:tcPr>
            <w:tcW w:w="2742" w:type="dxa"/>
            <w:tcBorders>
              <w:bottom w:val="single" w:color="auto" w:sz="4" w:space="0"/>
            </w:tcBorders>
            <w:vAlign w:val="center"/>
          </w:tcPr>
          <w:p>
            <w:pPr>
              <w:pStyle w:val="47"/>
            </w:pPr>
            <w:r>
              <w:t>规格型号</w:t>
            </w:r>
          </w:p>
        </w:tc>
        <w:tc>
          <w:tcPr>
            <w:tcW w:w="675" w:type="dxa"/>
            <w:tcBorders>
              <w:bottom w:val="single" w:color="auto" w:sz="4" w:space="0"/>
            </w:tcBorders>
            <w:vAlign w:val="center"/>
          </w:tcPr>
          <w:p>
            <w:pPr>
              <w:pStyle w:val="47"/>
            </w:pPr>
            <w:r>
              <w:t>台数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一</w:t>
            </w:r>
          </w:p>
        </w:tc>
        <w:tc>
          <w:tcPr>
            <w:tcW w:w="6854" w:type="dxa"/>
            <w:gridSpan w:val="3"/>
            <w:vAlign w:val="center"/>
          </w:tcPr>
          <w:p>
            <w:pPr>
              <w:pStyle w:val="47"/>
            </w:pPr>
            <w:r>
              <w:t>塔类</w:t>
            </w:r>
          </w:p>
        </w:tc>
        <w:tc>
          <w:tcPr>
            <w:tcW w:w="6413" w:type="dxa"/>
            <w:gridSpan w:val="3"/>
          </w:tcPr>
          <w:p>
            <w:pPr>
              <w:pStyle w:val="47"/>
            </w:pPr>
            <w:r>
              <w:t>塔类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1</w:t>
            </w:r>
          </w:p>
        </w:tc>
        <w:tc>
          <w:tcPr>
            <w:tcW w:w="2474" w:type="dxa"/>
            <w:vAlign w:val="center"/>
          </w:tcPr>
          <w:p>
            <w:pPr>
              <w:pStyle w:val="47"/>
            </w:pPr>
            <w:r>
              <w:t>轻重分离塔</w:t>
            </w:r>
          </w:p>
        </w:tc>
        <w:tc>
          <w:tcPr>
            <w:tcW w:w="3699" w:type="dxa"/>
            <w:vAlign w:val="center"/>
          </w:tcPr>
          <w:p>
            <w:pPr>
              <w:pStyle w:val="47"/>
            </w:pPr>
            <w:r>
              <w:t>φ1000X15200</w:t>
            </w:r>
          </w:p>
        </w:tc>
        <w:tc>
          <w:tcPr>
            <w:tcW w:w="681" w:type="dxa"/>
            <w:vAlign w:val="center"/>
          </w:tcPr>
          <w:p>
            <w:pPr>
              <w:pStyle w:val="47"/>
            </w:pPr>
            <w:r>
              <w:t>1</w:t>
            </w:r>
          </w:p>
        </w:tc>
        <w:tc>
          <w:tcPr>
            <w:tcW w:w="2996" w:type="dxa"/>
          </w:tcPr>
          <w:p>
            <w:pPr>
              <w:pStyle w:val="47"/>
            </w:pPr>
            <w:r>
              <w:rPr>
                <w:rFonts w:hint="eastAsia"/>
              </w:rPr>
              <w:t>减压闪蒸塔</w:t>
            </w:r>
          </w:p>
        </w:tc>
        <w:tc>
          <w:tcPr>
            <w:tcW w:w="2742" w:type="dxa"/>
          </w:tcPr>
          <w:p>
            <w:pPr>
              <w:pStyle w:val="47"/>
            </w:pPr>
            <w:r>
              <w:rPr>
                <w:rFonts w:hint="eastAsia"/>
              </w:rPr>
              <w:t>Φ</w:t>
            </w:r>
            <w:r>
              <w:t>1600×12×16600</w:t>
            </w:r>
          </w:p>
        </w:tc>
        <w:tc>
          <w:tcPr>
            <w:tcW w:w="675" w:type="dxa"/>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2</w:t>
            </w:r>
          </w:p>
        </w:tc>
        <w:tc>
          <w:tcPr>
            <w:tcW w:w="2474" w:type="dxa"/>
            <w:vAlign w:val="center"/>
          </w:tcPr>
          <w:p>
            <w:pPr>
              <w:pStyle w:val="47"/>
            </w:pPr>
            <w:r>
              <w:t>燃料油汽提塔</w:t>
            </w:r>
          </w:p>
        </w:tc>
        <w:tc>
          <w:tcPr>
            <w:tcW w:w="3699" w:type="dxa"/>
            <w:vAlign w:val="center"/>
          </w:tcPr>
          <w:p>
            <w:pPr>
              <w:pStyle w:val="47"/>
            </w:pPr>
            <w:r>
              <w:t>φ600×7400(立式)</w:t>
            </w:r>
          </w:p>
        </w:tc>
        <w:tc>
          <w:tcPr>
            <w:tcW w:w="681" w:type="dxa"/>
            <w:vAlign w:val="center"/>
          </w:tcPr>
          <w:p>
            <w:pPr>
              <w:pStyle w:val="47"/>
            </w:pPr>
            <w:r>
              <w:t>1</w:t>
            </w:r>
          </w:p>
        </w:tc>
        <w:tc>
          <w:tcPr>
            <w:tcW w:w="2996" w:type="dxa"/>
          </w:tcPr>
          <w:p>
            <w:pPr>
              <w:pStyle w:val="47"/>
            </w:pPr>
          </w:p>
        </w:tc>
        <w:tc>
          <w:tcPr>
            <w:tcW w:w="2742" w:type="dxa"/>
          </w:tcPr>
          <w:p>
            <w:pPr>
              <w:pStyle w:val="47"/>
            </w:pPr>
          </w:p>
        </w:tc>
        <w:tc>
          <w:tcPr>
            <w:tcW w:w="675" w:type="dxa"/>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二</w:t>
            </w:r>
          </w:p>
        </w:tc>
        <w:tc>
          <w:tcPr>
            <w:tcW w:w="6854" w:type="dxa"/>
            <w:gridSpan w:val="3"/>
            <w:vAlign w:val="center"/>
          </w:tcPr>
          <w:p>
            <w:pPr>
              <w:pStyle w:val="47"/>
            </w:pPr>
            <w:r>
              <w:t>容器类</w:t>
            </w:r>
          </w:p>
        </w:tc>
        <w:tc>
          <w:tcPr>
            <w:tcW w:w="6413" w:type="dxa"/>
            <w:gridSpan w:val="3"/>
          </w:tcPr>
          <w:p>
            <w:pPr>
              <w:pStyle w:val="47"/>
            </w:pPr>
            <w:r>
              <w:t>容器类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1</w:t>
            </w:r>
          </w:p>
        </w:tc>
        <w:tc>
          <w:tcPr>
            <w:tcW w:w="2474" w:type="dxa"/>
            <w:vAlign w:val="center"/>
          </w:tcPr>
          <w:p>
            <w:pPr>
              <w:pStyle w:val="47"/>
            </w:pPr>
            <w:r>
              <w:t>前级脱水器</w:t>
            </w:r>
          </w:p>
        </w:tc>
        <w:tc>
          <w:tcPr>
            <w:tcW w:w="3699" w:type="dxa"/>
            <w:vAlign w:val="center"/>
          </w:tcPr>
          <w:p>
            <w:pPr>
              <w:pStyle w:val="47"/>
            </w:pPr>
            <w:r>
              <w:t>脱后水含量0.15wt%</w:t>
            </w:r>
          </w:p>
        </w:tc>
        <w:tc>
          <w:tcPr>
            <w:tcW w:w="681" w:type="dxa"/>
            <w:vAlign w:val="center"/>
          </w:tcPr>
          <w:p>
            <w:pPr>
              <w:pStyle w:val="47"/>
            </w:pPr>
            <w:r>
              <w:t>1</w:t>
            </w:r>
          </w:p>
        </w:tc>
        <w:tc>
          <w:tcPr>
            <w:tcW w:w="2996" w:type="dxa"/>
            <w:vAlign w:val="center"/>
          </w:tcPr>
          <w:p>
            <w:pPr>
              <w:pStyle w:val="47"/>
            </w:pPr>
            <w:r>
              <w:rPr>
                <w:rFonts w:hint="eastAsia"/>
              </w:rPr>
              <w:t>沉降罐聚结器</w:t>
            </w:r>
          </w:p>
        </w:tc>
        <w:tc>
          <w:tcPr>
            <w:tcW w:w="2742" w:type="dxa"/>
            <w:vAlign w:val="center"/>
          </w:tcPr>
          <w:p>
            <w:pPr>
              <w:pStyle w:val="47"/>
            </w:pPr>
            <w:r>
              <w:rPr>
                <w:rFonts w:hint="eastAsia"/>
              </w:rPr>
              <w:t>Φ2500*14*7900</w:t>
            </w:r>
          </w:p>
        </w:tc>
        <w:tc>
          <w:tcPr>
            <w:tcW w:w="675" w:type="dxa"/>
            <w:vAlign w:val="center"/>
          </w:tcPr>
          <w:p>
            <w:pPr>
              <w:widowControl/>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2</w:t>
            </w:r>
          </w:p>
        </w:tc>
        <w:tc>
          <w:tcPr>
            <w:tcW w:w="2474" w:type="dxa"/>
            <w:vAlign w:val="center"/>
          </w:tcPr>
          <w:p>
            <w:pPr>
              <w:pStyle w:val="47"/>
            </w:pPr>
            <w:r>
              <w:t>聚结分离器</w:t>
            </w:r>
          </w:p>
        </w:tc>
        <w:tc>
          <w:tcPr>
            <w:tcW w:w="3699" w:type="dxa"/>
            <w:vAlign w:val="center"/>
          </w:tcPr>
          <w:p>
            <w:pPr>
              <w:pStyle w:val="47"/>
            </w:pPr>
            <w:r>
              <w:t>脱后水含量0.15wt%</w:t>
            </w:r>
          </w:p>
        </w:tc>
        <w:tc>
          <w:tcPr>
            <w:tcW w:w="681" w:type="dxa"/>
            <w:vAlign w:val="center"/>
          </w:tcPr>
          <w:p>
            <w:pPr>
              <w:pStyle w:val="47"/>
            </w:pPr>
            <w:r>
              <w:t>1</w:t>
            </w:r>
          </w:p>
        </w:tc>
        <w:tc>
          <w:tcPr>
            <w:tcW w:w="2996" w:type="dxa"/>
            <w:vAlign w:val="center"/>
          </w:tcPr>
          <w:p>
            <w:pPr>
              <w:pStyle w:val="47"/>
            </w:pPr>
            <w:r>
              <w:rPr>
                <w:rFonts w:hint="eastAsia"/>
              </w:rPr>
              <w:t>闪顶冷凝罐</w:t>
            </w:r>
          </w:p>
        </w:tc>
        <w:tc>
          <w:tcPr>
            <w:tcW w:w="2742" w:type="dxa"/>
            <w:vAlign w:val="center"/>
          </w:tcPr>
          <w:p>
            <w:pPr>
              <w:pStyle w:val="47"/>
            </w:pPr>
            <w:r>
              <w:rPr>
                <w:rFonts w:hint="eastAsia"/>
              </w:rPr>
              <w:t>Φ1400*10*3770</w:t>
            </w:r>
          </w:p>
        </w:tc>
        <w:tc>
          <w:tcPr>
            <w:tcW w:w="67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3</w:t>
            </w:r>
          </w:p>
        </w:tc>
        <w:tc>
          <w:tcPr>
            <w:tcW w:w="2474" w:type="dxa"/>
            <w:vAlign w:val="center"/>
          </w:tcPr>
          <w:p>
            <w:pPr>
              <w:pStyle w:val="47"/>
            </w:pPr>
            <w:r>
              <w:t>新鲜水缓冲罐</w:t>
            </w:r>
          </w:p>
        </w:tc>
        <w:tc>
          <w:tcPr>
            <w:tcW w:w="3699" w:type="dxa"/>
            <w:vAlign w:val="center"/>
          </w:tcPr>
          <w:p>
            <w:pPr>
              <w:pStyle w:val="47"/>
            </w:pPr>
            <w:r>
              <w:t>--</w:t>
            </w:r>
          </w:p>
        </w:tc>
        <w:tc>
          <w:tcPr>
            <w:tcW w:w="681" w:type="dxa"/>
            <w:vAlign w:val="center"/>
          </w:tcPr>
          <w:p>
            <w:pPr>
              <w:pStyle w:val="47"/>
            </w:pPr>
            <w:r>
              <w:t>1</w:t>
            </w:r>
          </w:p>
        </w:tc>
        <w:tc>
          <w:tcPr>
            <w:tcW w:w="2996" w:type="dxa"/>
            <w:vAlign w:val="center"/>
          </w:tcPr>
          <w:p>
            <w:pPr>
              <w:pStyle w:val="47"/>
            </w:pPr>
            <w:r>
              <w:rPr>
                <w:rFonts w:hint="eastAsia"/>
              </w:rPr>
              <w:t>注水罐</w:t>
            </w:r>
          </w:p>
        </w:tc>
        <w:tc>
          <w:tcPr>
            <w:tcW w:w="2742" w:type="dxa"/>
            <w:vAlign w:val="center"/>
          </w:tcPr>
          <w:p>
            <w:pPr>
              <w:pStyle w:val="47"/>
            </w:pPr>
            <w:r>
              <w:rPr>
                <w:rFonts w:hint="eastAsia"/>
              </w:rPr>
              <w:t>Φ1200*10*3670</w:t>
            </w:r>
          </w:p>
        </w:tc>
        <w:tc>
          <w:tcPr>
            <w:tcW w:w="67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4</w:t>
            </w:r>
          </w:p>
        </w:tc>
        <w:tc>
          <w:tcPr>
            <w:tcW w:w="2474" w:type="dxa"/>
            <w:vAlign w:val="center"/>
          </w:tcPr>
          <w:p>
            <w:pPr>
              <w:pStyle w:val="47"/>
            </w:pPr>
            <w:r>
              <w:t>离心闪蒸罐</w:t>
            </w:r>
          </w:p>
        </w:tc>
        <w:tc>
          <w:tcPr>
            <w:tcW w:w="3699" w:type="dxa"/>
            <w:vAlign w:val="center"/>
          </w:tcPr>
          <w:p>
            <w:pPr>
              <w:pStyle w:val="47"/>
            </w:pPr>
            <w:r>
              <w:t>脱后水含量0.05wt%</w:t>
            </w:r>
          </w:p>
        </w:tc>
        <w:tc>
          <w:tcPr>
            <w:tcW w:w="681" w:type="dxa"/>
            <w:vAlign w:val="center"/>
          </w:tcPr>
          <w:p>
            <w:pPr>
              <w:pStyle w:val="47"/>
            </w:pPr>
            <w:r>
              <w:t>1</w:t>
            </w:r>
          </w:p>
        </w:tc>
        <w:tc>
          <w:tcPr>
            <w:tcW w:w="2996" w:type="dxa"/>
            <w:vAlign w:val="center"/>
          </w:tcPr>
          <w:p>
            <w:pPr>
              <w:pStyle w:val="47"/>
            </w:pPr>
            <w:r>
              <w:rPr>
                <w:rFonts w:hint="eastAsia"/>
              </w:rPr>
              <w:t>破乳剂罐</w:t>
            </w:r>
          </w:p>
        </w:tc>
        <w:tc>
          <w:tcPr>
            <w:tcW w:w="2742" w:type="dxa"/>
            <w:vAlign w:val="center"/>
          </w:tcPr>
          <w:p>
            <w:pPr>
              <w:pStyle w:val="47"/>
            </w:pPr>
            <w:r>
              <w:rPr>
                <w:rFonts w:hint="eastAsia"/>
              </w:rPr>
              <w:t>Φ1200*10*3670</w:t>
            </w:r>
          </w:p>
        </w:tc>
        <w:tc>
          <w:tcPr>
            <w:tcW w:w="67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5</w:t>
            </w:r>
          </w:p>
        </w:tc>
        <w:tc>
          <w:tcPr>
            <w:tcW w:w="2474" w:type="dxa"/>
            <w:vAlign w:val="center"/>
          </w:tcPr>
          <w:p>
            <w:pPr>
              <w:pStyle w:val="47"/>
            </w:pPr>
            <w:r>
              <w:t>油泥分液罐</w:t>
            </w:r>
          </w:p>
        </w:tc>
        <w:tc>
          <w:tcPr>
            <w:tcW w:w="3699" w:type="dxa"/>
            <w:vAlign w:val="center"/>
          </w:tcPr>
          <w:p>
            <w:pPr>
              <w:pStyle w:val="47"/>
            </w:pPr>
            <w:r>
              <w:t>--</w:t>
            </w:r>
          </w:p>
        </w:tc>
        <w:tc>
          <w:tcPr>
            <w:tcW w:w="681" w:type="dxa"/>
            <w:vAlign w:val="center"/>
          </w:tcPr>
          <w:p>
            <w:pPr>
              <w:pStyle w:val="47"/>
            </w:pPr>
            <w:r>
              <w:t>1</w:t>
            </w:r>
          </w:p>
        </w:tc>
        <w:tc>
          <w:tcPr>
            <w:tcW w:w="2996" w:type="dxa"/>
            <w:vAlign w:val="center"/>
          </w:tcPr>
          <w:p>
            <w:pPr>
              <w:pStyle w:val="47"/>
            </w:pPr>
            <w:r>
              <w:rPr>
                <w:rFonts w:hint="eastAsia"/>
              </w:rPr>
              <w:t>注碱罐</w:t>
            </w:r>
          </w:p>
        </w:tc>
        <w:tc>
          <w:tcPr>
            <w:tcW w:w="2742" w:type="dxa"/>
            <w:vAlign w:val="center"/>
          </w:tcPr>
          <w:p>
            <w:pPr>
              <w:pStyle w:val="47"/>
            </w:pPr>
            <w:r>
              <w:rPr>
                <w:rFonts w:hint="eastAsia"/>
              </w:rPr>
              <w:t>Φ1200*10*3670</w:t>
            </w:r>
          </w:p>
        </w:tc>
        <w:tc>
          <w:tcPr>
            <w:tcW w:w="67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6</w:t>
            </w:r>
          </w:p>
        </w:tc>
        <w:tc>
          <w:tcPr>
            <w:tcW w:w="2474" w:type="dxa"/>
            <w:vAlign w:val="center"/>
          </w:tcPr>
          <w:p>
            <w:pPr>
              <w:pStyle w:val="47"/>
            </w:pPr>
            <w:r>
              <w:t>储液罐</w:t>
            </w:r>
          </w:p>
        </w:tc>
        <w:tc>
          <w:tcPr>
            <w:tcW w:w="3699" w:type="dxa"/>
            <w:vAlign w:val="center"/>
          </w:tcPr>
          <w:p>
            <w:pPr>
              <w:pStyle w:val="47"/>
            </w:pPr>
            <w:r>
              <w:t>φ800×1000</w:t>
            </w:r>
          </w:p>
        </w:tc>
        <w:tc>
          <w:tcPr>
            <w:tcW w:w="681" w:type="dxa"/>
            <w:vAlign w:val="center"/>
          </w:tcPr>
          <w:p>
            <w:pPr>
              <w:pStyle w:val="47"/>
            </w:pPr>
            <w:r>
              <w:t>1</w:t>
            </w:r>
          </w:p>
        </w:tc>
        <w:tc>
          <w:tcPr>
            <w:tcW w:w="2996" w:type="dxa"/>
          </w:tcPr>
          <w:p>
            <w:pPr>
              <w:pStyle w:val="47"/>
            </w:pPr>
          </w:p>
        </w:tc>
        <w:tc>
          <w:tcPr>
            <w:tcW w:w="2742" w:type="dxa"/>
          </w:tcPr>
          <w:p>
            <w:pPr>
              <w:pStyle w:val="47"/>
            </w:pPr>
          </w:p>
        </w:tc>
        <w:tc>
          <w:tcPr>
            <w:tcW w:w="675" w:type="dxa"/>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7</w:t>
            </w:r>
          </w:p>
        </w:tc>
        <w:tc>
          <w:tcPr>
            <w:tcW w:w="2474" w:type="dxa"/>
            <w:vAlign w:val="center"/>
          </w:tcPr>
          <w:p>
            <w:pPr>
              <w:pStyle w:val="47"/>
            </w:pPr>
            <w:r>
              <w:t>冲洗清洗罐</w:t>
            </w:r>
          </w:p>
        </w:tc>
        <w:tc>
          <w:tcPr>
            <w:tcW w:w="3699" w:type="dxa"/>
            <w:vAlign w:val="center"/>
          </w:tcPr>
          <w:p>
            <w:pPr>
              <w:pStyle w:val="47"/>
            </w:pPr>
            <w:r>
              <w:t>φ800×1000</w:t>
            </w:r>
          </w:p>
        </w:tc>
        <w:tc>
          <w:tcPr>
            <w:tcW w:w="681" w:type="dxa"/>
            <w:vAlign w:val="center"/>
          </w:tcPr>
          <w:p>
            <w:pPr>
              <w:pStyle w:val="47"/>
            </w:pPr>
            <w:r>
              <w:t>1</w:t>
            </w:r>
          </w:p>
        </w:tc>
        <w:tc>
          <w:tcPr>
            <w:tcW w:w="2996" w:type="dxa"/>
          </w:tcPr>
          <w:p>
            <w:pPr>
              <w:pStyle w:val="47"/>
            </w:pPr>
          </w:p>
        </w:tc>
        <w:tc>
          <w:tcPr>
            <w:tcW w:w="2742" w:type="dxa"/>
          </w:tcPr>
          <w:p>
            <w:pPr>
              <w:pStyle w:val="47"/>
            </w:pPr>
          </w:p>
        </w:tc>
        <w:tc>
          <w:tcPr>
            <w:tcW w:w="675" w:type="dxa"/>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6</w:t>
            </w:r>
          </w:p>
        </w:tc>
        <w:tc>
          <w:tcPr>
            <w:tcW w:w="2474" w:type="dxa"/>
            <w:vAlign w:val="center"/>
          </w:tcPr>
          <w:p>
            <w:pPr>
              <w:pStyle w:val="47"/>
            </w:pPr>
            <w:r>
              <w:t>轻重分离塔顶回流罐</w:t>
            </w:r>
          </w:p>
        </w:tc>
        <w:tc>
          <w:tcPr>
            <w:tcW w:w="3699" w:type="dxa"/>
            <w:vAlign w:val="center"/>
          </w:tcPr>
          <w:p>
            <w:pPr>
              <w:pStyle w:val="47"/>
            </w:pPr>
            <w:r>
              <w:t>φ800×1000（卧式）</w:t>
            </w:r>
          </w:p>
        </w:tc>
        <w:tc>
          <w:tcPr>
            <w:tcW w:w="681" w:type="dxa"/>
            <w:vAlign w:val="center"/>
          </w:tcPr>
          <w:p>
            <w:pPr>
              <w:pStyle w:val="47"/>
            </w:pPr>
            <w:r>
              <w:t>1</w:t>
            </w:r>
          </w:p>
        </w:tc>
        <w:tc>
          <w:tcPr>
            <w:tcW w:w="2996" w:type="dxa"/>
          </w:tcPr>
          <w:p>
            <w:pPr>
              <w:pStyle w:val="47"/>
            </w:pPr>
          </w:p>
        </w:tc>
        <w:tc>
          <w:tcPr>
            <w:tcW w:w="2742" w:type="dxa"/>
          </w:tcPr>
          <w:p>
            <w:pPr>
              <w:pStyle w:val="47"/>
            </w:pPr>
          </w:p>
        </w:tc>
        <w:tc>
          <w:tcPr>
            <w:tcW w:w="675" w:type="dxa"/>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三</w:t>
            </w:r>
          </w:p>
        </w:tc>
        <w:tc>
          <w:tcPr>
            <w:tcW w:w="6854" w:type="dxa"/>
            <w:gridSpan w:val="3"/>
            <w:vAlign w:val="center"/>
          </w:tcPr>
          <w:p>
            <w:pPr>
              <w:pStyle w:val="47"/>
            </w:pPr>
            <w:r>
              <w:t>机泵类</w:t>
            </w:r>
          </w:p>
        </w:tc>
        <w:tc>
          <w:tcPr>
            <w:tcW w:w="6413" w:type="dxa"/>
            <w:gridSpan w:val="3"/>
          </w:tcPr>
          <w:p>
            <w:pPr>
              <w:pStyle w:val="47"/>
            </w:pPr>
            <w:r>
              <w:t>机泵类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1</w:t>
            </w:r>
          </w:p>
        </w:tc>
        <w:tc>
          <w:tcPr>
            <w:tcW w:w="2474" w:type="dxa"/>
            <w:vAlign w:val="center"/>
          </w:tcPr>
          <w:p>
            <w:pPr>
              <w:pStyle w:val="47"/>
            </w:pPr>
            <w:r>
              <w:t>新鲜水</w:t>
            </w:r>
            <w:r>
              <w:rPr>
                <w:rFonts w:hint="eastAsia"/>
              </w:rPr>
              <w:t>补</w:t>
            </w:r>
            <w:r>
              <w:t>水泵</w:t>
            </w:r>
          </w:p>
        </w:tc>
        <w:tc>
          <w:tcPr>
            <w:tcW w:w="3699" w:type="dxa"/>
            <w:vAlign w:val="center"/>
          </w:tcPr>
          <w:p>
            <w:pPr>
              <w:pStyle w:val="47"/>
            </w:pPr>
            <w:r>
              <w:t>Q=15kw</w:t>
            </w:r>
          </w:p>
        </w:tc>
        <w:tc>
          <w:tcPr>
            <w:tcW w:w="681" w:type="dxa"/>
            <w:vAlign w:val="center"/>
          </w:tcPr>
          <w:p>
            <w:pPr>
              <w:pStyle w:val="47"/>
            </w:pPr>
            <w:r>
              <w:t>2</w:t>
            </w:r>
          </w:p>
        </w:tc>
        <w:tc>
          <w:tcPr>
            <w:tcW w:w="2996" w:type="dxa"/>
            <w:vAlign w:val="center"/>
          </w:tcPr>
          <w:p>
            <w:pPr>
              <w:pStyle w:val="47"/>
            </w:pPr>
            <w:r>
              <w:rPr>
                <w:rFonts w:hint="eastAsia"/>
              </w:rPr>
              <w:t>闪底油泵</w:t>
            </w:r>
          </w:p>
        </w:tc>
        <w:tc>
          <w:tcPr>
            <w:tcW w:w="2742" w:type="dxa"/>
            <w:vAlign w:val="center"/>
          </w:tcPr>
          <w:p>
            <w:pPr>
              <w:pStyle w:val="47"/>
            </w:pPr>
            <w:r>
              <w:rPr>
                <w:rFonts w:hint="eastAsia"/>
              </w:rPr>
              <w:t>LZE40-400</w:t>
            </w:r>
          </w:p>
        </w:tc>
        <w:tc>
          <w:tcPr>
            <w:tcW w:w="675" w:type="dxa"/>
            <w:vAlign w:val="bottom"/>
          </w:tcPr>
          <w:p>
            <w:pPr>
              <w:pStyle w:val="47"/>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2</w:t>
            </w:r>
          </w:p>
        </w:tc>
        <w:tc>
          <w:tcPr>
            <w:tcW w:w="2474" w:type="dxa"/>
            <w:vAlign w:val="center"/>
          </w:tcPr>
          <w:p>
            <w:pPr>
              <w:pStyle w:val="47"/>
            </w:pPr>
            <w:r>
              <w:t>洗涤水循环泵</w:t>
            </w:r>
          </w:p>
        </w:tc>
        <w:tc>
          <w:tcPr>
            <w:tcW w:w="3699" w:type="dxa"/>
            <w:vAlign w:val="center"/>
          </w:tcPr>
          <w:p>
            <w:pPr>
              <w:pStyle w:val="47"/>
            </w:pPr>
            <w:r>
              <w:t>Q=30kw</w:t>
            </w:r>
          </w:p>
        </w:tc>
        <w:tc>
          <w:tcPr>
            <w:tcW w:w="681" w:type="dxa"/>
            <w:vAlign w:val="center"/>
          </w:tcPr>
          <w:p>
            <w:pPr>
              <w:pStyle w:val="47"/>
            </w:pPr>
            <w:r>
              <w:t>2</w:t>
            </w:r>
          </w:p>
        </w:tc>
        <w:tc>
          <w:tcPr>
            <w:tcW w:w="2996" w:type="dxa"/>
            <w:vAlign w:val="center"/>
          </w:tcPr>
          <w:p>
            <w:pPr>
              <w:pStyle w:val="47"/>
            </w:pPr>
            <w:r>
              <w:rPr>
                <w:rFonts w:hint="eastAsia"/>
              </w:rPr>
              <w:t>轻油泵</w:t>
            </w:r>
          </w:p>
        </w:tc>
        <w:tc>
          <w:tcPr>
            <w:tcW w:w="2742" w:type="dxa"/>
            <w:vAlign w:val="center"/>
          </w:tcPr>
          <w:p>
            <w:pPr>
              <w:pStyle w:val="47"/>
            </w:pPr>
            <w:r>
              <w:rPr>
                <w:rFonts w:hint="eastAsia"/>
              </w:rPr>
              <w:t>LX25-15-250</w:t>
            </w:r>
          </w:p>
        </w:tc>
        <w:tc>
          <w:tcPr>
            <w:tcW w:w="675" w:type="dxa"/>
            <w:vAlign w:val="bottom"/>
          </w:tcPr>
          <w:p>
            <w:pPr>
              <w:pStyle w:val="47"/>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3</w:t>
            </w:r>
          </w:p>
        </w:tc>
        <w:tc>
          <w:tcPr>
            <w:tcW w:w="2474" w:type="dxa"/>
            <w:vAlign w:val="center"/>
          </w:tcPr>
          <w:p>
            <w:pPr>
              <w:pStyle w:val="47"/>
            </w:pPr>
            <w:r>
              <w:t>脱油泥补水泵</w:t>
            </w:r>
          </w:p>
        </w:tc>
        <w:tc>
          <w:tcPr>
            <w:tcW w:w="3699" w:type="dxa"/>
            <w:vAlign w:val="center"/>
          </w:tcPr>
          <w:p>
            <w:pPr>
              <w:pStyle w:val="47"/>
            </w:pPr>
            <w:r>
              <w:t>Q=15kw</w:t>
            </w:r>
          </w:p>
        </w:tc>
        <w:tc>
          <w:tcPr>
            <w:tcW w:w="681" w:type="dxa"/>
            <w:vAlign w:val="center"/>
          </w:tcPr>
          <w:p>
            <w:pPr>
              <w:pStyle w:val="47"/>
            </w:pPr>
            <w:r>
              <w:t>2</w:t>
            </w:r>
          </w:p>
        </w:tc>
        <w:tc>
          <w:tcPr>
            <w:tcW w:w="2996" w:type="dxa"/>
            <w:vAlign w:val="center"/>
          </w:tcPr>
          <w:p>
            <w:pPr>
              <w:pStyle w:val="47"/>
            </w:pPr>
            <w:r>
              <w:rPr>
                <w:rFonts w:hint="eastAsia"/>
              </w:rPr>
              <w:t>注水泵</w:t>
            </w:r>
          </w:p>
        </w:tc>
        <w:tc>
          <w:tcPr>
            <w:tcW w:w="2742" w:type="dxa"/>
            <w:vAlign w:val="center"/>
          </w:tcPr>
          <w:p>
            <w:pPr>
              <w:pStyle w:val="47"/>
            </w:pPr>
            <w:r>
              <w:rPr>
                <w:rFonts w:hint="eastAsia"/>
              </w:rPr>
              <w:t>LX32-20-315</w:t>
            </w:r>
          </w:p>
        </w:tc>
        <w:tc>
          <w:tcPr>
            <w:tcW w:w="675"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4</w:t>
            </w:r>
          </w:p>
        </w:tc>
        <w:tc>
          <w:tcPr>
            <w:tcW w:w="2474" w:type="dxa"/>
            <w:vAlign w:val="center"/>
          </w:tcPr>
          <w:p>
            <w:pPr>
              <w:pStyle w:val="47"/>
            </w:pPr>
            <w:r>
              <w:t>脱油泥循环泵</w:t>
            </w:r>
          </w:p>
        </w:tc>
        <w:tc>
          <w:tcPr>
            <w:tcW w:w="3699" w:type="dxa"/>
            <w:vAlign w:val="center"/>
          </w:tcPr>
          <w:p>
            <w:pPr>
              <w:pStyle w:val="47"/>
            </w:pPr>
            <w:r>
              <w:t>Q=30kw</w:t>
            </w:r>
          </w:p>
        </w:tc>
        <w:tc>
          <w:tcPr>
            <w:tcW w:w="681" w:type="dxa"/>
            <w:vAlign w:val="center"/>
          </w:tcPr>
          <w:p>
            <w:pPr>
              <w:pStyle w:val="47"/>
            </w:pPr>
            <w:r>
              <w:t>2</w:t>
            </w:r>
          </w:p>
        </w:tc>
        <w:tc>
          <w:tcPr>
            <w:tcW w:w="2996" w:type="dxa"/>
            <w:vAlign w:val="center"/>
          </w:tcPr>
          <w:p>
            <w:pPr>
              <w:pStyle w:val="47"/>
            </w:pPr>
            <w:r>
              <w:rPr>
                <w:rFonts w:hint="eastAsia"/>
              </w:rPr>
              <w:t>注碱泵</w:t>
            </w:r>
          </w:p>
        </w:tc>
        <w:tc>
          <w:tcPr>
            <w:tcW w:w="2742" w:type="dxa"/>
            <w:vAlign w:val="center"/>
          </w:tcPr>
          <w:p>
            <w:pPr>
              <w:pStyle w:val="47"/>
            </w:pPr>
            <w:r>
              <w:rPr>
                <w:rFonts w:hint="eastAsia"/>
              </w:rPr>
              <w:t>J2-100/1.2</w:t>
            </w:r>
          </w:p>
        </w:tc>
        <w:tc>
          <w:tcPr>
            <w:tcW w:w="675"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5</w:t>
            </w:r>
          </w:p>
        </w:tc>
        <w:tc>
          <w:tcPr>
            <w:tcW w:w="2474" w:type="dxa"/>
            <w:vAlign w:val="center"/>
          </w:tcPr>
          <w:p>
            <w:pPr>
              <w:pStyle w:val="47"/>
            </w:pPr>
            <w:r>
              <w:t>脱油泥进料泵</w:t>
            </w:r>
          </w:p>
        </w:tc>
        <w:tc>
          <w:tcPr>
            <w:tcW w:w="3699" w:type="dxa"/>
            <w:vAlign w:val="center"/>
          </w:tcPr>
          <w:p>
            <w:pPr>
              <w:pStyle w:val="47"/>
            </w:pPr>
            <w:r>
              <w:t>Q=45kw</w:t>
            </w:r>
          </w:p>
        </w:tc>
        <w:tc>
          <w:tcPr>
            <w:tcW w:w="681" w:type="dxa"/>
            <w:vAlign w:val="center"/>
          </w:tcPr>
          <w:p>
            <w:pPr>
              <w:pStyle w:val="47"/>
            </w:pPr>
            <w:r>
              <w:t>2</w:t>
            </w:r>
          </w:p>
        </w:tc>
        <w:tc>
          <w:tcPr>
            <w:tcW w:w="2996" w:type="dxa"/>
            <w:vAlign w:val="center"/>
          </w:tcPr>
          <w:p>
            <w:pPr>
              <w:pStyle w:val="47"/>
            </w:pPr>
            <w:r>
              <w:rPr>
                <w:rFonts w:hint="eastAsia"/>
              </w:rPr>
              <w:t>破乳剂泵</w:t>
            </w:r>
          </w:p>
        </w:tc>
        <w:tc>
          <w:tcPr>
            <w:tcW w:w="2742" w:type="dxa"/>
            <w:vAlign w:val="center"/>
          </w:tcPr>
          <w:p>
            <w:pPr>
              <w:pStyle w:val="47"/>
            </w:pPr>
            <w:r>
              <w:rPr>
                <w:rFonts w:hint="eastAsia"/>
              </w:rPr>
              <w:t>J2-100/1.2</w:t>
            </w:r>
          </w:p>
        </w:tc>
        <w:tc>
          <w:tcPr>
            <w:tcW w:w="675"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6</w:t>
            </w:r>
          </w:p>
        </w:tc>
        <w:tc>
          <w:tcPr>
            <w:tcW w:w="2474" w:type="dxa"/>
            <w:vAlign w:val="center"/>
          </w:tcPr>
          <w:p>
            <w:pPr>
              <w:pStyle w:val="47"/>
            </w:pPr>
            <w:r>
              <w:t>脱油泥清洗泵</w:t>
            </w:r>
          </w:p>
        </w:tc>
        <w:tc>
          <w:tcPr>
            <w:tcW w:w="3699" w:type="dxa"/>
            <w:vAlign w:val="center"/>
          </w:tcPr>
          <w:p>
            <w:pPr>
              <w:pStyle w:val="47"/>
            </w:pPr>
            <w:r>
              <w:t>Q=15kw</w:t>
            </w:r>
          </w:p>
        </w:tc>
        <w:tc>
          <w:tcPr>
            <w:tcW w:w="681" w:type="dxa"/>
            <w:vAlign w:val="center"/>
          </w:tcPr>
          <w:p>
            <w:pPr>
              <w:pStyle w:val="47"/>
            </w:pPr>
            <w:r>
              <w:t>2</w:t>
            </w:r>
          </w:p>
        </w:tc>
        <w:tc>
          <w:tcPr>
            <w:tcW w:w="2996" w:type="dxa"/>
            <w:vAlign w:val="center"/>
          </w:tcPr>
          <w:p>
            <w:pPr>
              <w:pStyle w:val="47"/>
            </w:pPr>
            <w:r>
              <w:rPr>
                <w:rFonts w:hint="eastAsia"/>
              </w:rPr>
              <w:t>闪顶冷凝水泵</w:t>
            </w:r>
          </w:p>
        </w:tc>
        <w:tc>
          <w:tcPr>
            <w:tcW w:w="2742" w:type="dxa"/>
            <w:vAlign w:val="center"/>
          </w:tcPr>
          <w:p>
            <w:pPr>
              <w:pStyle w:val="47"/>
            </w:pPr>
            <w:r>
              <w:rPr>
                <w:rFonts w:hint="eastAsia"/>
              </w:rPr>
              <w:t>LX20-15-160</w:t>
            </w:r>
          </w:p>
        </w:tc>
        <w:tc>
          <w:tcPr>
            <w:tcW w:w="675"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7</w:t>
            </w:r>
          </w:p>
        </w:tc>
        <w:tc>
          <w:tcPr>
            <w:tcW w:w="2474" w:type="dxa"/>
            <w:vAlign w:val="center"/>
          </w:tcPr>
          <w:p>
            <w:pPr>
              <w:pStyle w:val="47"/>
            </w:pPr>
            <w:r>
              <w:t>降膜真空机组</w:t>
            </w:r>
          </w:p>
        </w:tc>
        <w:tc>
          <w:tcPr>
            <w:tcW w:w="3699" w:type="dxa"/>
            <w:vAlign w:val="center"/>
          </w:tcPr>
          <w:p>
            <w:pPr>
              <w:pStyle w:val="47"/>
            </w:pPr>
            <w:r>
              <w:t>Q=30kw</w:t>
            </w:r>
          </w:p>
        </w:tc>
        <w:tc>
          <w:tcPr>
            <w:tcW w:w="681" w:type="dxa"/>
            <w:vAlign w:val="center"/>
          </w:tcPr>
          <w:p>
            <w:pPr>
              <w:pStyle w:val="47"/>
            </w:pPr>
            <w:r>
              <w:t>2</w:t>
            </w:r>
          </w:p>
        </w:tc>
        <w:tc>
          <w:tcPr>
            <w:tcW w:w="2996" w:type="dxa"/>
          </w:tcPr>
          <w:p>
            <w:pPr>
              <w:pStyle w:val="47"/>
            </w:pPr>
          </w:p>
        </w:tc>
        <w:tc>
          <w:tcPr>
            <w:tcW w:w="2742" w:type="dxa"/>
          </w:tcPr>
          <w:p>
            <w:pPr>
              <w:pStyle w:val="47"/>
            </w:pPr>
          </w:p>
        </w:tc>
        <w:tc>
          <w:tcPr>
            <w:tcW w:w="675" w:type="dxa"/>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8</w:t>
            </w:r>
          </w:p>
        </w:tc>
        <w:tc>
          <w:tcPr>
            <w:tcW w:w="2474" w:type="dxa"/>
            <w:vAlign w:val="center"/>
          </w:tcPr>
          <w:p>
            <w:pPr>
              <w:pStyle w:val="47"/>
            </w:pPr>
            <w:r>
              <w:t>一级薄膜蒸发循环泵</w:t>
            </w:r>
          </w:p>
        </w:tc>
        <w:tc>
          <w:tcPr>
            <w:tcW w:w="3699" w:type="dxa"/>
            <w:vAlign w:val="center"/>
          </w:tcPr>
          <w:p>
            <w:pPr>
              <w:pStyle w:val="47"/>
            </w:pPr>
            <w:r>
              <w:t>ZE40-2315A</w:t>
            </w:r>
          </w:p>
        </w:tc>
        <w:tc>
          <w:tcPr>
            <w:tcW w:w="681" w:type="dxa"/>
            <w:vAlign w:val="center"/>
          </w:tcPr>
          <w:p>
            <w:pPr>
              <w:pStyle w:val="47"/>
            </w:pPr>
            <w:r>
              <w:t>2</w:t>
            </w:r>
          </w:p>
        </w:tc>
        <w:tc>
          <w:tcPr>
            <w:tcW w:w="2996" w:type="dxa"/>
          </w:tcPr>
          <w:p>
            <w:pPr>
              <w:pStyle w:val="47"/>
            </w:pPr>
          </w:p>
        </w:tc>
        <w:tc>
          <w:tcPr>
            <w:tcW w:w="2742" w:type="dxa"/>
          </w:tcPr>
          <w:p>
            <w:pPr>
              <w:pStyle w:val="47"/>
            </w:pPr>
          </w:p>
        </w:tc>
        <w:tc>
          <w:tcPr>
            <w:tcW w:w="675" w:type="dxa"/>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9</w:t>
            </w:r>
          </w:p>
        </w:tc>
        <w:tc>
          <w:tcPr>
            <w:tcW w:w="2474" w:type="dxa"/>
            <w:vAlign w:val="center"/>
          </w:tcPr>
          <w:p>
            <w:pPr>
              <w:pStyle w:val="47"/>
            </w:pPr>
            <w:r>
              <w:t>二级薄膜蒸发循环泵</w:t>
            </w:r>
          </w:p>
        </w:tc>
        <w:tc>
          <w:tcPr>
            <w:tcW w:w="3699" w:type="dxa"/>
            <w:vAlign w:val="center"/>
          </w:tcPr>
          <w:p>
            <w:pPr>
              <w:pStyle w:val="47"/>
            </w:pPr>
            <w:r>
              <w:t>ZE40-2315A</w:t>
            </w:r>
          </w:p>
        </w:tc>
        <w:tc>
          <w:tcPr>
            <w:tcW w:w="681" w:type="dxa"/>
            <w:vAlign w:val="center"/>
          </w:tcPr>
          <w:p>
            <w:pPr>
              <w:pStyle w:val="47"/>
            </w:pPr>
            <w:r>
              <w:t>2</w:t>
            </w:r>
          </w:p>
        </w:tc>
        <w:tc>
          <w:tcPr>
            <w:tcW w:w="2996" w:type="dxa"/>
          </w:tcPr>
          <w:p>
            <w:pPr>
              <w:pStyle w:val="47"/>
            </w:pPr>
          </w:p>
        </w:tc>
        <w:tc>
          <w:tcPr>
            <w:tcW w:w="2742" w:type="dxa"/>
          </w:tcPr>
          <w:p>
            <w:pPr>
              <w:pStyle w:val="47"/>
            </w:pPr>
          </w:p>
        </w:tc>
        <w:tc>
          <w:tcPr>
            <w:tcW w:w="675" w:type="dxa"/>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10</w:t>
            </w:r>
          </w:p>
        </w:tc>
        <w:tc>
          <w:tcPr>
            <w:tcW w:w="2474" w:type="dxa"/>
            <w:vAlign w:val="center"/>
          </w:tcPr>
          <w:p>
            <w:pPr>
              <w:pStyle w:val="47"/>
            </w:pPr>
            <w:r>
              <w:t>三级薄膜蒸发循环泵</w:t>
            </w:r>
          </w:p>
        </w:tc>
        <w:tc>
          <w:tcPr>
            <w:tcW w:w="3699" w:type="dxa"/>
            <w:vAlign w:val="center"/>
          </w:tcPr>
          <w:p>
            <w:pPr>
              <w:pStyle w:val="47"/>
            </w:pPr>
            <w:r>
              <w:t>ZE40-2315A</w:t>
            </w:r>
          </w:p>
        </w:tc>
        <w:tc>
          <w:tcPr>
            <w:tcW w:w="681" w:type="dxa"/>
            <w:vAlign w:val="center"/>
          </w:tcPr>
          <w:p>
            <w:pPr>
              <w:pStyle w:val="47"/>
            </w:pPr>
            <w:r>
              <w:t>2</w:t>
            </w:r>
          </w:p>
        </w:tc>
        <w:tc>
          <w:tcPr>
            <w:tcW w:w="2996" w:type="dxa"/>
          </w:tcPr>
          <w:p>
            <w:pPr>
              <w:pStyle w:val="47"/>
            </w:pPr>
          </w:p>
        </w:tc>
        <w:tc>
          <w:tcPr>
            <w:tcW w:w="2742" w:type="dxa"/>
          </w:tcPr>
          <w:p>
            <w:pPr>
              <w:pStyle w:val="47"/>
            </w:pPr>
          </w:p>
        </w:tc>
        <w:tc>
          <w:tcPr>
            <w:tcW w:w="675" w:type="dxa"/>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11</w:t>
            </w:r>
          </w:p>
        </w:tc>
        <w:tc>
          <w:tcPr>
            <w:tcW w:w="2474" w:type="dxa"/>
            <w:vAlign w:val="center"/>
          </w:tcPr>
          <w:p>
            <w:pPr>
              <w:pStyle w:val="47"/>
            </w:pPr>
            <w:r>
              <w:t>轻重烃分离塔顶回流泵</w:t>
            </w:r>
          </w:p>
        </w:tc>
        <w:tc>
          <w:tcPr>
            <w:tcW w:w="3699" w:type="dxa"/>
            <w:vAlign w:val="center"/>
          </w:tcPr>
          <w:p>
            <w:pPr>
              <w:pStyle w:val="47"/>
            </w:pPr>
            <w:r>
              <w:t>DY12-40</w:t>
            </w:r>
          </w:p>
        </w:tc>
        <w:tc>
          <w:tcPr>
            <w:tcW w:w="681" w:type="dxa"/>
            <w:vAlign w:val="center"/>
          </w:tcPr>
          <w:p>
            <w:pPr>
              <w:pStyle w:val="47"/>
            </w:pPr>
            <w:r>
              <w:t>2</w:t>
            </w:r>
          </w:p>
        </w:tc>
        <w:tc>
          <w:tcPr>
            <w:tcW w:w="2996" w:type="dxa"/>
          </w:tcPr>
          <w:p>
            <w:pPr>
              <w:pStyle w:val="47"/>
            </w:pPr>
          </w:p>
        </w:tc>
        <w:tc>
          <w:tcPr>
            <w:tcW w:w="2742" w:type="dxa"/>
          </w:tcPr>
          <w:p>
            <w:pPr>
              <w:pStyle w:val="47"/>
            </w:pPr>
          </w:p>
        </w:tc>
        <w:tc>
          <w:tcPr>
            <w:tcW w:w="675" w:type="dxa"/>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12</w:t>
            </w:r>
          </w:p>
        </w:tc>
        <w:tc>
          <w:tcPr>
            <w:tcW w:w="2474" w:type="dxa"/>
            <w:vAlign w:val="center"/>
          </w:tcPr>
          <w:p>
            <w:pPr>
              <w:pStyle w:val="47"/>
            </w:pPr>
            <w:r>
              <w:t>柴油产品泵</w:t>
            </w:r>
          </w:p>
        </w:tc>
        <w:tc>
          <w:tcPr>
            <w:tcW w:w="3699" w:type="dxa"/>
            <w:vAlign w:val="center"/>
          </w:tcPr>
          <w:p>
            <w:pPr>
              <w:pStyle w:val="47"/>
            </w:pPr>
            <w:r>
              <w:t>50AY</w:t>
            </w:r>
            <w:r>
              <w:rPr>
                <w:rFonts w:hint="eastAsia" w:ascii="宋体" w:hAnsi="宋体" w:cs="宋体"/>
              </w:rPr>
              <w:t>Ⅱ</w:t>
            </w:r>
            <w:r>
              <w:t>-80</w:t>
            </w:r>
          </w:p>
        </w:tc>
        <w:tc>
          <w:tcPr>
            <w:tcW w:w="681" w:type="dxa"/>
            <w:vAlign w:val="center"/>
          </w:tcPr>
          <w:p>
            <w:pPr>
              <w:pStyle w:val="47"/>
            </w:pPr>
            <w:r>
              <w:t>2</w:t>
            </w:r>
          </w:p>
        </w:tc>
        <w:tc>
          <w:tcPr>
            <w:tcW w:w="2996" w:type="dxa"/>
          </w:tcPr>
          <w:p>
            <w:pPr>
              <w:pStyle w:val="47"/>
            </w:pPr>
          </w:p>
        </w:tc>
        <w:tc>
          <w:tcPr>
            <w:tcW w:w="2742" w:type="dxa"/>
          </w:tcPr>
          <w:p>
            <w:pPr>
              <w:pStyle w:val="47"/>
            </w:pPr>
          </w:p>
        </w:tc>
        <w:tc>
          <w:tcPr>
            <w:tcW w:w="675" w:type="dxa"/>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13</w:t>
            </w:r>
          </w:p>
        </w:tc>
        <w:tc>
          <w:tcPr>
            <w:tcW w:w="2474" w:type="dxa"/>
            <w:vAlign w:val="center"/>
          </w:tcPr>
          <w:p>
            <w:pPr>
              <w:pStyle w:val="47"/>
            </w:pPr>
            <w:r>
              <w:t>燃料油产品泵</w:t>
            </w:r>
          </w:p>
        </w:tc>
        <w:tc>
          <w:tcPr>
            <w:tcW w:w="3699" w:type="dxa"/>
            <w:vAlign w:val="center"/>
          </w:tcPr>
          <w:p>
            <w:pPr>
              <w:pStyle w:val="47"/>
            </w:pPr>
            <w:r>
              <w:t>50AY</w:t>
            </w:r>
            <w:r>
              <w:rPr>
                <w:rFonts w:hint="eastAsia" w:ascii="宋体" w:hAnsi="宋体" w:cs="宋体"/>
              </w:rPr>
              <w:t>Ⅱ</w:t>
            </w:r>
            <w:r>
              <w:t>-80</w:t>
            </w:r>
          </w:p>
        </w:tc>
        <w:tc>
          <w:tcPr>
            <w:tcW w:w="681" w:type="dxa"/>
            <w:vAlign w:val="center"/>
          </w:tcPr>
          <w:p>
            <w:pPr>
              <w:pStyle w:val="47"/>
            </w:pPr>
            <w:r>
              <w:t>2</w:t>
            </w:r>
          </w:p>
        </w:tc>
        <w:tc>
          <w:tcPr>
            <w:tcW w:w="2996" w:type="dxa"/>
          </w:tcPr>
          <w:p>
            <w:pPr>
              <w:pStyle w:val="47"/>
            </w:pPr>
          </w:p>
        </w:tc>
        <w:tc>
          <w:tcPr>
            <w:tcW w:w="2742" w:type="dxa"/>
          </w:tcPr>
          <w:p>
            <w:pPr>
              <w:pStyle w:val="47"/>
            </w:pPr>
          </w:p>
        </w:tc>
        <w:tc>
          <w:tcPr>
            <w:tcW w:w="675" w:type="dxa"/>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14</w:t>
            </w:r>
          </w:p>
        </w:tc>
        <w:tc>
          <w:tcPr>
            <w:tcW w:w="2474" w:type="dxa"/>
            <w:vAlign w:val="center"/>
          </w:tcPr>
          <w:p>
            <w:pPr>
              <w:pStyle w:val="47"/>
            </w:pPr>
            <w:r>
              <w:t>轻重烃分离塔进料泵</w:t>
            </w:r>
          </w:p>
        </w:tc>
        <w:tc>
          <w:tcPr>
            <w:tcW w:w="3699" w:type="dxa"/>
            <w:vAlign w:val="center"/>
          </w:tcPr>
          <w:p>
            <w:pPr>
              <w:pStyle w:val="47"/>
            </w:pPr>
            <w:r>
              <w:t>50AY</w:t>
            </w:r>
            <w:r>
              <w:rPr>
                <w:rFonts w:hint="eastAsia" w:ascii="宋体" w:hAnsi="宋体" w:cs="宋体"/>
              </w:rPr>
              <w:t>Ⅱ</w:t>
            </w:r>
            <w:r>
              <w:t>-80</w:t>
            </w:r>
          </w:p>
        </w:tc>
        <w:tc>
          <w:tcPr>
            <w:tcW w:w="681" w:type="dxa"/>
            <w:vAlign w:val="center"/>
          </w:tcPr>
          <w:p>
            <w:pPr>
              <w:pStyle w:val="47"/>
            </w:pPr>
            <w:r>
              <w:t>2</w:t>
            </w:r>
          </w:p>
        </w:tc>
        <w:tc>
          <w:tcPr>
            <w:tcW w:w="2996" w:type="dxa"/>
          </w:tcPr>
          <w:p>
            <w:pPr>
              <w:pStyle w:val="47"/>
            </w:pPr>
          </w:p>
        </w:tc>
        <w:tc>
          <w:tcPr>
            <w:tcW w:w="2742" w:type="dxa"/>
          </w:tcPr>
          <w:p>
            <w:pPr>
              <w:pStyle w:val="47"/>
            </w:pPr>
          </w:p>
        </w:tc>
        <w:tc>
          <w:tcPr>
            <w:tcW w:w="675" w:type="dxa"/>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四</w:t>
            </w:r>
          </w:p>
        </w:tc>
        <w:tc>
          <w:tcPr>
            <w:tcW w:w="6854" w:type="dxa"/>
            <w:gridSpan w:val="3"/>
            <w:vAlign w:val="center"/>
          </w:tcPr>
          <w:p>
            <w:pPr>
              <w:pStyle w:val="47"/>
            </w:pPr>
            <w:r>
              <w:t>冷换设备类</w:t>
            </w:r>
          </w:p>
        </w:tc>
        <w:tc>
          <w:tcPr>
            <w:tcW w:w="6413" w:type="dxa"/>
            <w:gridSpan w:val="3"/>
          </w:tcPr>
          <w:p>
            <w:pPr>
              <w:pStyle w:val="47"/>
            </w:pPr>
            <w:r>
              <w:t>冷换设备类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1</w:t>
            </w:r>
          </w:p>
        </w:tc>
        <w:tc>
          <w:tcPr>
            <w:tcW w:w="2474" w:type="dxa"/>
            <w:vAlign w:val="center"/>
          </w:tcPr>
          <w:p>
            <w:pPr>
              <w:pStyle w:val="47"/>
            </w:pPr>
            <w:r>
              <w:t>原料预热器</w:t>
            </w:r>
          </w:p>
        </w:tc>
        <w:tc>
          <w:tcPr>
            <w:tcW w:w="3699" w:type="dxa"/>
            <w:vAlign w:val="center"/>
          </w:tcPr>
          <w:p>
            <w:pPr>
              <w:pStyle w:val="47"/>
            </w:pPr>
            <w:r>
              <w:t>AES400-2.5-15-3/25-4II</w:t>
            </w:r>
          </w:p>
        </w:tc>
        <w:tc>
          <w:tcPr>
            <w:tcW w:w="681" w:type="dxa"/>
            <w:vAlign w:val="center"/>
          </w:tcPr>
          <w:p>
            <w:pPr>
              <w:pStyle w:val="47"/>
            </w:pPr>
            <w:r>
              <w:t>1</w:t>
            </w:r>
          </w:p>
        </w:tc>
        <w:tc>
          <w:tcPr>
            <w:tcW w:w="2996" w:type="dxa"/>
            <w:vAlign w:val="center"/>
          </w:tcPr>
          <w:p>
            <w:pPr>
              <w:pStyle w:val="47"/>
            </w:pPr>
            <w:r>
              <w:rPr>
                <w:rFonts w:hint="eastAsia"/>
              </w:rPr>
              <w:t>废矿物油-闪顶气换热器</w:t>
            </w:r>
          </w:p>
        </w:tc>
        <w:tc>
          <w:tcPr>
            <w:tcW w:w="2742" w:type="dxa"/>
            <w:vAlign w:val="center"/>
          </w:tcPr>
          <w:p>
            <w:pPr>
              <w:pStyle w:val="47"/>
            </w:pPr>
            <w:r>
              <w:rPr>
                <w:rFonts w:hint="eastAsia"/>
              </w:rPr>
              <w:t>BJS700-2.5-105-6/25-6Ⅰ</w:t>
            </w:r>
          </w:p>
        </w:tc>
        <w:tc>
          <w:tcPr>
            <w:tcW w:w="675"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2</w:t>
            </w:r>
          </w:p>
        </w:tc>
        <w:tc>
          <w:tcPr>
            <w:tcW w:w="2474" w:type="dxa"/>
            <w:vAlign w:val="center"/>
          </w:tcPr>
          <w:p>
            <w:pPr>
              <w:pStyle w:val="47"/>
            </w:pPr>
            <w:r>
              <w:t>原料加热器</w:t>
            </w:r>
          </w:p>
        </w:tc>
        <w:tc>
          <w:tcPr>
            <w:tcW w:w="3699" w:type="dxa"/>
            <w:vAlign w:val="center"/>
          </w:tcPr>
          <w:p>
            <w:pPr>
              <w:pStyle w:val="47"/>
            </w:pPr>
            <w:r>
              <w:t>AES400-2.5-15-3/25-4II</w:t>
            </w:r>
          </w:p>
        </w:tc>
        <w:tc>
          <w:tcPr>
            <w:tcW w:w="681" w:type="dxa"/>
            <w:vAlign w:val="center"/>
          </w:tcPr>
          <w:p>
            <w:pPr>
              <w:pStyle w:val="47"/>
            </w:pPr>
            <w:r>
              <w:t>1</w:t>
            </w:r>
          </w:p>
        </w:tc>
        <w:tc>
          <w:tcPr>
            <w:tcW w:w="2996" w:type="dxa"/>
            <w:vAlign w:val="center"/>
          </w:tcPr>
          <w:p>
            <w:pPr>
              <w:pStyle w:val="47"/>
            </w:pPr>
            <w:r>
              <w:rPr>
                <w:rFonts w:hint="eastAsia"/>
              </w:rPr>
              <w:t>废矿物油-闪底油换热器</w:t>
            </w:r>
          </w:p>
        </w:tc>
        <w:tc>
          <w:tcPr>
            <w:tcW w:w="2742" w:type="dxa"/>
            <w:vAlign w:val="center"/>
          </w:tcPr>
          <w:p>
            <w:pPr>
              <w:pStyle w:val="47"/>
            </w:pPr>
            <w:r>
              <w:rPr>
                <w:rFonts w:hint="eastAsia"/>
              </w:rPr>
              <w:t>BES1400-2.5-515-6/25-6Ⅰ</w:t>
            </w:r>
          </w:p>
        </w:tc>
        <w:tc>
          <w:tcPr>
            <w:tcW w:w="675"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3</w:t>
            </w:r>
          </w:p>
        </w:tc>
        <w:tc>
          <w:tcPr>
            <w:tcW w:w="2474" w:type="dxa"/>
            <w:vAlign w:val="center"/>
          </w:tcPr>
          <w:p>
            <w:pPr>
              <w:pStyle w:val="47"/>
            </w:pPr>
            <w:r>
              <w:t>闪蒸水汽冷凝器</w:t>
            </w:r>
          </w:p>
        </w:tc>
        <w:tc>
          <w:tcPr>
            <w:tcW w:w="3699" w:type="dxa"/>
            <w:vAlign w:val="center"/>
          </w:tcPr>
          <w:p>
            <w:pPr>
              <w:pStyle w:val="47"/>
            </w:pPr>
            <w:r>
              <w:t>AES400-2.5-25-4.5/25-4II</w:t>
            </w:r>
          </w:p>
        </w:tc>
        <w:tc>
          <w:tcPr>
            <w:tcW w:w="681" w:type="dxa"/>
            <w:vAlign w:val="center"/>
          </w:tcPr>
          <w:p>
            <w:pPr>
              <w:pStyle w:val="47"/>
            </w:pPr>
            <w:r>
              <w:t>1</w:t>
            </w:r>
          </w:p>
        </w:tc>
        <w:tc>
          <w:tcPr>
            <w:tcW w:w="2996" w:type="dxa"/>
            <w:vAlign w:val="center"/>
          </w:tcPr>
          <w:p>
            <w:pPr>
              <w:pStyle w:val="47"/>
            </w:pPr>
            <w:r>
              <w:rPr>
                <w:rFonts w:hint="eastAsia"/>
              </w:rPr>
              <w:t>废矿物油加热器</w:t>
            </w:r>
          </w:p>
        </w:tc>
        <w:tc>
          <w:tcPr>
            <w:tcW w:w="2742" w:type="dxa"/>
            <w:vAlign w:val="center"/>
          </w:tcPr>
          <w:p>
            <w:pPr>
              <w:pStyle w:val="47"/>
            </w:pPr>
            <w:r>
              <w:rPr>
                <w:rFonts w:hint="eastAsia"/>
              </w:rPr>
              <w:t>BES400-2.5-15-3/25-4Ⅰ</w:t>
            </w:r>
          </w:p>
        </w:tc>
        <w:tc>
          <w:tcPr>
            <w:tcW w:w="675"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4</w:t>
            </w:r>
          </w:p>
        </w:tc>
        <w:tc>
          <w:tcPr>
            <w:tcW w:w="2474" w:type="dxa"/>
            <w:vAlign w:val="center"/>
          </w:tcPr>
          <w:p>
            <w:pPr>
              <w:pStyle w:val="47"/>
            </w:pPr>
            <w:r>
              <w:t>薄膜蒸发预热器</w:t>
            </w:r>
          </w:p>
        </w:tc>
        <w:tc>
          <w:tcPr>
            <w:tcW w:w="3699" w:type="dxa"/>
            <w:vAlign w:val="center"/>
          </w:tcPr>
          <w:p>
            <w:pPr>
              <w:pStyle w:val="47"/>
            </w:pPr>
            <w:r>
              <w:t>AES500-2.5-55-6/25-4II</w:t>
            </w:r>
          </w:p>
        </w:tc>
        <w:tc>
          <w:tcPr>
            <w:tcW w:w="681" w:type="dxa"/>
            <w:vAlign w:val="center"/>
          </w:tcPr>
          <w:p>
            <w:pPr>
              <w:pStyle w:val="47"/>
            </w:pPr>
            <w:r>
              <w:t>1</w:t>
            </w:r>
          </w:p>
        </w:tc>
        <w:tc>
          <w:tcPr>
            <w:tcW w:w="2996" w:type="dxa"/>
            <w:vAlign w:val="center"/>
          </w:tcPr>
          <w:p>
            <w:pPr>
              <w:pStyle w:val="47"/>
            </w:pPr>
            <w:r>
              <w:rPr>
                <w:rFonts w:hint="eastAsia"/>
              </w:rPr>
              <w:t>脱水废矿物油-闪底油换热器</w:t>
            </w:r>
          </w:p>
        </w:tc>
        <w:tc>
          <w:tcPr>
            <w:tcW w:w="2742" w:type="dxa"/>
            <w:vAlign w:val="center"/>
          </w:tcPr>
          <w:p>
            <w:pPr>
              <w:pStyle w:val="47"/>
            </w:pPr>
            <w:r>
              <w:rPr>
                <w:rFonts w:hint="eastAsia"/>
              </w:rPr>
              <w:t>BES1400-2.5-515-6/25-6Ⅰ</w:t>
            </w:r>
          </w:p>
        </w:tc>
        <w:tc>
          <w:tcPr>
            <w:tcW w:w="675"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5</w:t>
            </w:r>
          </w:p>
        </w:tc>
        <w:tc>
          <w:tcPr>
            <w:tcW w:w="2474" w:type="dxa"/>
            <w:vAlign w:val="center"/>
          </w:tcPr>
          <w:p>
            <w:pPr>
              <w:pStyle w:val="47"/>
            </w:pPr>
            <w:r>
              <w:t>一级蒸发器</w:t>
            </w:r>
          </w:p>
        </w:tc>
        <w:tc>
          <w:tcPr>
            <w:tcW w:w="3699" w:type="dxa"/>
            <w:vAlign w:val="center"/>
          </w:tcPr>
          <w:p>
            <w:pPr>
              <w:pStyle w:val="47"/>
            </w:pPr>
            <w:r>
              <w:t>AES500-2.5-55-6/25-4II</w:t>
            </w:r>
          </w:p>
        </w:tc>
        <w:tc>
          <w:tcPr>
            <w:tcW w:w="681" w:type="dxa"/>
            <w:vAlign w:val="center"/>
          </w:tcPr>
          <w:p>
            <w:pPr>
              <w:pStyle w:val="47"/>
            </w:pPr>
            <w:r>
              <w:t>1</w:t>
            </w:r>
          </w:p>
        </w:tc>
        <w:tc>
          <w:tcPr>
            <w:tcW w:w="2996" w:type="dxa"/>
            <w:vAlign w:val="center"/>
          </w:tcPr>
          <w:p>
            <w:pPr>
              <w:pStyle w:val="47"/>
            </w:pPr>
            <w:r>
              <w:rPr>
                <w:rFonts w:hint="eastAsia"/>
              </w:rPr>
              <w:t>脱水废矿物油加热器</w:t>
            </w:r>
          </w:p>
        </w:tc>
        <w:tc>
          <w:tcPr>
            <w:tcW w:w="2742" w:type="dxa"/>
            <w:vAlign w:val="center"/>
          </w:tcPr>
          <w:p>
            <w:pPr>
              <w:pStyle w:val="47"/>
            </w:pPr>
            <w:r>
              <w:rPr>
                <w:rFonts w:hint="eastAsia"/>
              </w:rPr>
              <w:t>BES500-2.5-25-3/25-4Ⅰ</w:t>
            </w:r>
          </w:p>
        </w:tc>
        <w:tc>
          <w:tcPr>
            <w:tcW w:w="675"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6</w:t>
            </w:r>
          </w:p>
        </w:tc>
        <w:tc>
          <w:tcPr>
            <w:tcW w:w="2474" w:type="dxa"/>
            <w:vAlign w:val="center"/>
          </w:tcPr>
          <w:p>
            <w:pPr>
              <w:pStyle w:val="47"/>
            </w:pPr>
            <w:r>
              <w:t>二级蒸发器</w:t>
            </w:r>
          </w:p>
        </w:tc>
        <w:tc>
          <w:tcPr>
            <w:tcW w:w="3699" w:type="dxa"/>
            <w:vAlign w:val="center"/>
          </w:tcPr>
          <w:p>
            <w:pPr>
              <w:pStyle w:val="47"/>
            </w:pPr>
            <w:r>
              <w:t>AES700-2.5-105-6/25-4II</w:t>
            </w:r>
          </w:p>
        </w:tc>
        <w:tc>
          <w:tcPr>
            <w:tcW w:w="681" w:type="dxa"/>
            <w:vAlign w:val="center"/>
          </w:tcPr>
          <w:p>
            <w:pPr>
              <w:pStyle w:val="47"/>
            </w:pPr>
            <w:r>
              <w:t>1</w:t>
            </w:r>
          </w:p>
        </w:tc>
        <w:tc>
          <w:tcPr>
            <w:tcW w:w="2996" w:type="dxa"/>
            <w:vAlign w:val="center"/>
          </w:tcPr>
          <w:p>
            <w:pPr>
              <w:pStyle w:val="47"/>
            </w:pPr>
            <w:r>
              <w:rPr>
                <w:rFonts w:hint="eastAsia"/>
              </w:rPr>
              <w:t>沉降水冷却器</w:t>
            </w:r>
          </w:p>
        </w:tc>
        <w:tc>
          <w:tcPr>
            <w:tcW w:w="2742" w:type="dxa"/>
            <w:vAlign w:val="center"/>
          </w:tcPr>
          <w:p>
            <w:pPr>
              <w:pStyle w:val="47"/>
            </w:pPr>
            <w:r>
              <w:rPr>
                <w:rFonts w:hint="eastAsia"/>
              </w:rPr>
              <w:t>BES400-2.5-15-3/25-4Ⅰ</w:t>
            </w:r>
          </w:p>
        </w:tc>
        <w:tc>
          <w:tcPr>
            <w:tcW w:w="675"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7</w:t>
            </w:r>
          </w:p>
        </w:tc>
        <w:tc>
          <w:tcPr>
            <w:tcW w:w="2474" w:type="dxa"/>
            <w:vAlign w:val="center"/>
          </w:tcPr>
          <w:p>
            <w:pPr>
              <w:pStyle w:val="47"/>
            </w:pPr>
            <w:r>
              <w:t>三级蒸发器</w:t>
            </w:r>
          </w:p>
        </w:tc>
        <w:tc>
          <w:tcPr>
            <w:tcW w:w="3699" w:type="dxa"/>
            <w:vAlign w:val="center"/>
          </w:tcPr>
          <w:p>
            <w:pPr>
              <w:pStyle w:val="47"/>
            </w:pPr>
            <w:r>
              <w:t>BES900-2.5-195-6/25-4II</w:t>
            </w:r>
          </w:p>
        </w:tc>
        <w:tc>
          <w:tcPr>
            <w:tcW w:w="681" w:type="dxa"/>
            <w:vAlign w:val="center"/>
          </w:tcPr>
          <w:p>
            <w:pPr>
              <w:pStyle w:val="47"/>
            </w:pPr>
            <w:r>
              <w:t>1</w:t>
            </w:r>
          </w:p>
        </w:tc>
        <w:tc>
          <w:tcPr>
            <w:tcW w:w="2996" w:type="dxa"/>
            <w:vAlign w:val="center"/>
          </w:tcPr>
          <w:p>
            <w:pPr>
              <w:pStyle w:val="47"/>
            </w:pPr>
            <w:r>
              <w:rPr>
                <w:rFonts w:hint="eastAsia"/>
              </w:rPr>
              <w:t>闪顶油水冷器</w:t>
            </w:r>
          </w:p>
        </w:tc>
        <w:tc>
          <w:tcPr>
            <w:tcW w:w="2742" w:type="dxa"/>
            <w:vAlign w:val="center"/>
          </w:tcPr>
          <w:p>
            <w:pPr>
              <w:pStyle w:val="47"/>
            </w:pPr>
            <w:r>
              <w:rPr>
                <w:rFonts w:hint="eastAsia"/>
              </w:rPr>
              <w:t>BJS900-2.5-195-6/25-6Ⅰ</w:t>
            </w:r>
          </w:p>
        </w:tc>
        <w:tc>
          <w:tcPr>
            <w:tcW w:w="675"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8</w:t>
            </w:r>
          </w:p>
        </w:tc>
        <w:tc>
          <w:tcPr>
            <w:tcW w:w="2474" w:type="dxa"/>
            <w:vAlign w:val="center"/>
          </w:tcPr>
          <w:p>
            <w:pPr>
              <w:pStyle w:val="47"/>
            </w:pPr>
            <w:r>
              <w:t>燃料油冷却器</w:t>
            </w:r>
          </w:p>
        </w:tc>
        <w:tc>
          <w:tcPr>
            <w:tcW w:w="3699" w:type="dxa"/>
            <w:vAlign w:val="center"/>
          </w:tcPr>
          <w:p>
            <w:pPr>
              <w:pStyle w:val="47"/>
            </w:pPr>
            <w:r>
              <w:t>AES400-2.5-25-4.5/25-4II</w:t>
            </w:r>
          </w:p>
        </w:tc>
        <w:tc>
          <w:tcPr>
            <w:tcW w:w="681" w:type="dxa"/>
            <w:vAlign w:val="center"/>
          </w:tcPr>
          <w:p>
            <w:pPr>
              <w:pStyle w:val="47"/>
            </w:pPr>
            <w:r>
              <w:t>1</w:t>
            </w:r>
          </w:p>
        </w:tc>
        <w:tc>
          <w:tcPr>
            <w:tcW w:w="2996" w:type="dxa"/>
          </w:tcPr>
          <w:p>
            <w:pPr>
              <w:pStyle w:val="47"/>
            </w:pPr>
          </w:p>
        </w:tc>
        <w:tc>
          <w:tcPr>
            <w:tcW w:w="2742" w:type="dxa"/>
          </w:tcPr>
          <w:p>
            <w:pPr>
              <w:pStyle w:val="47"/>
            </w:pPr>
          </w:p>
        </w:tc>
        <w:tc>
          <w:tcPr>
            <w:tcW w:w="675" w:type="dxa"/>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9</w:t>
            </w:r>
          </w:p>
        </w:tc>
        <w:tc>
          <w:tcPr>
            <w:tcW w:w="2474" w:type="dxa"/>
            <w:vAlign w:val="center"/>
          </w:tcPr>
          <w:p>
            <w:pPr>
              <w:pStyle w:val="47"/>
            </w:pPr>
            <w:r>
              <w:t>柴油水冷器</w:t>
            </w:r>
          </w:p>
        </w:tc>
        <w:tc>
          <w:tcPr>
            <w:tcW w:w="3699" w:type="dxa"/>
            <w:vAlign w:val="center"/>
          </w:tcPr>
          <w:p>
            <w:pPr>
              <w:pStyle w:val="47"/>
            </w:pPr>
            <w:r>
              <w:t>AES400-2.5-15-3/25-4II</w:t>
            </w:r>
          </w:p>
        </w:tc>
        <w:tc>
          <w:tcPr>
            <w:tcW w:w="681" w:type="dxa"/>
            <w:vAlign w:val="center"/>
          </w:tcPr>
          <w:p>
            <w:pPr>
              <w:pStyle w:val="47"/>
            </w:pPr>
            <w:r>
              <w:t>1</w:t>
            </w:r>
          </w:p>
        </w:tc>
        <w:tc>
          <w:tcPr>
            <w:tcW w:w="2996" w:type="dxa"/>
          </w:tcPr>
          <w:p>
            <w:pPr>
              <w:pStyle w:val="47"/>
            </w:pPr>
          </w:p>
        </w:tc>
        <w:tc>
          <w:tcPr>
            <w:tcW w:w="2742" w:type="dxa"/>
          </w:tcPr>
          <w:p>
            <w:pPr>
              <w:pStyle w:val="47"/>
            </w:pPr>
          </w:p>
        </w:tc>
        <w:tc>
          <w:tcPr>
            <w:tcW w:w="675" w:type="dxa"/>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五</w:t>
            </w:r>
          </w:p>
        </w:tc>
        <w:tc>
          <w:tcPr>
            <w:tcW w:w="6854" w:type="dxa"/>
            <w:gridSpan w:val="3"/>
            <w:vAlign w:val="center"/>
          </w:tcPr>
          <w:p>
            <w:pPr>
              <w:pStyle w:val="47"/>
            </w:pPr>
            <w:r>
              <w:t>其他</w:t>
            </w:r>
          </w:p>
        </w:tc>
        <w:tc>
          <w:tcPr>
            <w:tcW w:w="6413" w:type="dxa"/>
            <w:gridSpan w:val="3"/>
          </w:tcPr>
          <w:p>
            <w:pPr>
              <w:pStyle w:val="47"/>
            </w:pPr>
            <w:r>
              <w:t>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1</w:t>
            </w:r>
          </w:p>
        </w:tc>
        <w:tc>
          <w:tcPr>
            <w:tcW w:w="2474" w:type="dxa"/>
            <w:vAlign w:val="center"/>
          </w:tcPr>
          <w:p>
            <w:pPr>
              <w:pStyle w:val="47"/>
            </w:pPr>
            <w:r>
              <w:t>离心脱固器</w:t>
            </w:r>
          </w:p>
        </w:tc>
        <w:tc>
          <w:tcPr>
            <w:tcW w:w="3699" w:type="dxa"/>
            <w:vAlign w:val="center"/>
          </w:tcPr>
          <w:p>
            <w:pPr>
              <w:pStyle w:val="47"/>
            </w:pPr>
            <w:r>
              <w:t>处理量20m</w:t>
            </w:r>
            <w:r>
              <w:rPr>
                <w:vertAlign w:val="superscript"/>
              </w:rPr>
              <w:t>3</w:t>
            </w:r>
            <w:r>
              <w:t>/h，精度30μm</w:t>
            </w:r>
          </w:p>
        </w:tc>
        <w:tc>
          <w:tcPr>
            <w:tcW w:w="681" w:type="dxa"/>
            <w:vAlign w:val="center"/>
          </w:tcPr>
          <w:p>
            <w:pPr>
              <w:pStyle w:val="47"/>
            </w:pPr>
            <w:r>
              <w:t>1</w:t>
            </w:r>
          </w:p>
        </w:tc>
        <w:tc>
          <w:tcPr>
            <w:tcW w:w="2996" w:type="dxa"/>
          </w:tcPr>
          <w:p>
            <w:pPr>
              <w:pStyle w:val="47"/>
            </w:pPr>
            <w:r>
              <w:rPr>
                <w:rFonts w:hint="eastAsia"/>
              </w:rPr>
              <w:t>脱油泥机</w:t>
            </w:r>
          </w:p>
        </w:tc>
        <w:tc>
          <w:tcPr>
            <w:tcW w:w="2742" w:type="dxa"/>
          </w:tcPr>
          <w:p>
            <w:pPr>
              <w:pStyle w:val="47"/>
            </w:pPr>
            <w:r>
              <w:t xml:space="preserve">1t/h </w:t>
            </w:r>
            <w:r>
              <w:rPr>
                <w:rFonts w:hint="eastAsia"/>
              </w:rPr>
              <w:t>处理量</w:t>
            </w:r>
          </w:p>
        </w:tc>
        <w:tc>
          <w:tcPr>
            <w:tcW w:w="675" w:type="dxa"/>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2</w:t>
            </w:r>
          </w:p>
        </w:tc>
        <w:tc>
          <w:tcPr>
            <w:tcW w:w="2474" w:type="dxa"/>
            <w:vAlign w:val="center"/>
          </w:tcPr>
          <w:p>
            <w:pPr>
              <w:pStyle w:val="47"/>
            </w:pPr>
            <w:r>
              <w:t>润滑油精密过滤器</w:t>
            </w:r>
          </w:p>
        </w:tc>
        <w:tc>
          <w:tcPr>
            <w:tcW w:w="3699" w:type="dxa"/>
            <w:vAlign w:val="center"/>
          </w:tcPr>
          <w:p>
            <w:pPr>
              <w:pStyle w:val="47"/>
            </w:pPr>
            <w:r>
              <w:t>处理量20m</w:t>
            </w:r>
            <w:r>
              <w:rPr>
                <w:vertAlign w:val="superscript"/>
              </w:rPr>
              <w:t>3</w:t>
            </w:r>
            <w:r>
              <w:t>/h，精度1μm,带反冲洗</w:t>
            </w:r>
          </w:p>
        </w:tc>
        <w:tc>
          <w:tcPr>
            <w:tcW w:w="681" w:type="dxa"/>
            <w:vAlign w:val="center"/>
          </w:tcPr>
          <w:p>
            <w:pPr>
              <w:pStyle w:val="47"/>
            </w:pPr>
            <w:r>
              <w:t>1</w:t>
            </w:r>
          </w:p>
        </w:tc>
        <w:tc>
          <w:tcPr>
            <w:tcW w:w="2996" w:type="dxa"/>
          </w:tcPr>
          <w:p>
            <w:pPr>
              <w:pStyle w:val="47"/>
            </w:pPr>
          </w:p>
        </w:tc>
        <w:tc>
          <w:tcPr>
            <w:tcW w:w="2742" w:type="dxa"/>
          </w:tcPr>
          <w:p>
            <w:pPr>
              <w:pStyle w:val="47"/>
            </w:pPr>
          </w:p>
        </w:tc>
        <w:tc>
          <w:tcPr>
            <w:tcW w:w="675" w:type="dxa"/>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3</w:t>
            </w:r>
          </w:p>
        </w:tc>
        <w:tc>
          <w:tcPr>
            <w:tcW w:w="2474" w:type="dxa"/>
            <w:vAlign w:val="center"/>
          </w:tcPr>
          <w:p>
            <w:pPr>
              <w:pStyle w:val="47"/>
            </w:pPr>
            <w:r>
              <w:t>一级微混洗盐器</w:t>
            </w:r>
          </w:p>
        </w:tc>
        <w:tc>
          <w:tcPr>
            <w:tcW w:w="3699" w:type="dxa"/>
            <w:vAlign w:val="center"/>
          </w:tcPr>
          <w:p>
            <w:pPr>
              <w:pStyle w:val="47"/>
            </w:pPr>
            <w:r>
              <w:t>LVD-SM混合器</w:t>
            </w:r>
          </w:p>
        </w:tc>
        <w:tc>
          <w:tcPr>
            <w:tcW w:w="681" w:type="dxa"/>
            <w:vAlign w:val="center"/>
          </w:tcPr>
          <w:p>
            <w:pPr>
              <w:pStyle w:val="47"/>
            </w:pPr>
            <w:r>
              <w:t>1</w:t>
            </w:r>
          </w:p>
        </w:tc>
        <w:tc>
          <w:tcPr>
            <w:tcW w:w="2996" w:type="dxa"/>
          </w:tcPr>
          <w:p>
            <w:pPr>
              <w:pStyle w:val="47"/>
            </w:pPr>
          </w:p>
        </w:tc>
        <w:tc>
          <w:tcPr>
            <w:tcW w:w="2742" w:type="dxa"/>
          </w:tcPr>
          <w:p>
            <w:pPr>
              <w:pStyle w:val="47"/>
            </w:pPr>
          </w:p>
        </w:tc>
        <w:tc>
          <w:tcPr>
            <w:tcW w:w="675" w:type="dxa"/>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4</w:t>
            </w:r>
          </w:p>
        </w:tc>
        <w:tc>
          <w:tcPr>
            <w:tcW w:w="2474" w:type="dxa"/>
            <w:vAlign w:val="center"/>
          </w:tcPr>
          <w:p>
            <w:pPr>
              <w:pStyle w:val="47"/>
            </w:pPr>
            <w:r>
              <w:t>二级微混洗盐器</w:t>
            </w:r>
          </w:p>
        </w:tc>
        <w:tc>
          <w:tcPr>
            <w:tcW w:w="3699" w:type="dxa"/>
            <w:vAlign w:val="center"/>
          </w:tcPr>
          <w:p>
            <w:pPr>
              <w:pStyle w:val="47"/>
            </w:pPr>
            <w:r>
              <w:t>LVD-SM混合器</w:t>
            </w:r>
          </w:p>
        </w:tc>
        <w:tc>
          <w:tcPr>
            <w:tcW w:w="681" w:type="dxa"/>
            <w:vAlign w:val="center"/>
          </w:tcPr>
          <w:p>
            <w:pPr>
              <w:pStyle w:val="47"/>
            </w:pPr>
            <w:r>
              <w:t>1</w:t>
            </w:r>
          </w:p>
        </w:tc>
        <w:tc>
          <w:tcPr>
            <w:tcW w:w="2996" w:type="dxa"/>
          </w:tcPr>
          <w:p>
            <w:pPr>
              <w:pStyle w:val="47"/>
            </w:pPr>
          </w:p>
        </w:tc>
        <w:tc>
          <w:tcPr>
            <w:tcW w:w="2742" w:type="dxa"/>
          </w:tcPr>
          <w:p>
            <w:pPr>
              <w:pStyle w:val="47"/>
            </w:pPr>
          </w:p>
        </w:tc>
        <w:tc>
          <w:tcPr>
            <w:tcW w:w="675" w:type="dxa"/>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5</w:t>
            </w:r>
          </w:p>
        </w:tc>
        <w:tc>
          <w:tcPr>
            <w:tcW w:w="2474" w:type="dxa"/>
            <w:vAlign w:val="center"/>
          </w:tcPr>
          <w:p>
            <w:pPr>
              <w:pStyle w:val="47"/>
            </w:pPr>
            <w:r>
              <w:t>陶瓷膜组</w:t>
            </w:r>
          </w:p>
        </w:tc>
        <w:tc>
          <w:tcPr>
            <w:tcW w:w="3699" w:type="dxa"/>
            <w:vAlign w:val="center"/>
          </w:tcPr>
          <w:p>
            <w:pPr>
              <w:pStyle w:val="47"/>
            </w:pPr>
            <w:r>
              <w:t>带过滤功能陶瓷膜组块</w:t>
            </w:r>
          </w:p>
        </w:tc>
        <w:tc>
          <w:tcPr>
            <w:tcW w:w="681" w:type="dxa"/>
            <w:vAlign w:val="center"/>
          </w:tcPr>
          <w:p>
            <w:pPr>
              <w:pStyle w:val="47"/>
            </w:pPr>
            <w:r>
              <w:t>3</w:t>
            </w:r>
          </w:p>
        </w:tc>
        <w:tc>
          <w:tcPr>
            <w:tcW w:w="2996" w:type="dxa"/>
          </w:tcPr>
          <w:p>
            <w:pPr>
              <w:pStyle w:val="47"/>
            </w:pPr>
          </w:p>
        </w:tc>
        <w:tc>
          <w:tcPr>
            <w:tcW w:w="2742" w:type="dxa"/>
          </w:tcPr>
          <w:p>
            <w:pPr>
              <w:pStyle w:val="47"/>
            </w:pPr>
          </w:p>
        </w:tc>
        <w:tc>
          <w:tcPr>
            <w:tcW w:w="675" w:type="dxa"/>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81" w:type="dxa"/>
            <w:vAlign w:val="center"/>
          </w:tcPr>
          <w:p>
            <w:pPr>
              <w:pStyle w:val="47"/>
            </w:pPr>
            <w:r>
              <w:t>6</w:t>
            </w:r>
          </w:p>
        </w:tc>
        <w:tc>
          <w:tcPr>
            <w:tcW w:w="2474" w:type="dxa"/>
            <w:vAlign w:val="center"/>
          </w:tcPr>
          <w:p>
            <w:pPr>
              <w:pStyle w:val="47"/>
            </w:pPr>
            <w:r>
              <w:t>真空机组</w:t>
            </w:r>
          </w:p>
        </w:tc>
        <w:tc>
          <w:tcPr>
            <w:tcW w:w="3699" w:type="dxa"/>
            <w:vAlign w:val="center"/>
          </w:tcPr>
          <w:p>
            <w:pPr>
              <w:pStyle w:val="47"/>
            </w:pPr>
            <w:r>
              <w:t>液环真空泵组</w:t>
            </w:r>
          </w:p>
        </w:tc>
        <w:tc>
          <w:tcPr>
            <w:tcW w:w="681" w:type="dxa"/>
            <w:vAlign w:val="center"/>
          </w:tcPr>
          <w:p>
            <w:pPr>
              <w:pStyle w:val="47"/>
            </w:pPr>
            <w:r>
              <w:t>1</w:t>
            </w:r>
          </w:p>
        </w:tc>
        <w:tc>
          <w:tcPr>
            <w:tcW w:w="2996" w:type="dxa"/>
          </w:tcPr>
          <w:p>
            <w:pPr>
              <w:pStyle w:val="47"/>
            </w:pPr>
          </w:p>
        </w:tc>
        <w:tc>
          <w:tcPr>
            <w:tcW w:w="2742" w:type="dxa"/>
          </w:tcPr>
          <w:p>
            <w:pPr>
              <w:pStyle w:val="47"/>
            </w:pPr>
          </w:p>
        </w:tc>
        <w:tc>
          <w:tcPr>
            <w:tcW w:w="675" w:type="dxa"/>
          </w:tcPr>
          <w:p>
            <w:pPr>
              <w:pStyle w:val="47"/>
            </w:pPr>
          </w:p>
        </w:tc>
      </w:tr>
    </w:tbl>
    <w:p>
      <w:pPr>
        <w:spacing w:line="480" w:lineRule="exact"/>
        <w:ind w:firstLine="480" w:firstLineChars="200"/>
        <w:rPr>
          <w:rFonts w:ascii="Times New Roman" w:hAnsi="Times New Roman" w:eastAsia="黑体" w:cs="Times New Roman"/>
          <w:sz w:val="24"/>
        </w:rPr>
      </w:pPr>
      <w:r>
        <w:rPr>
          <w:rFonts w:hint="eastAsia" w:ascii="Times New Roman" w:hAnsi="Times New Roman" w:eastAsia="黑体" w:cs="Times New Roman"/>
          <w:sz w:val="24"/>
        </w:rPr>
        <w:t>表</w:t>
      </w:r>
      <w:r>
        <w:rPr>
          <w:rFonts w:ascii="Times New Roman" w:hAnsi="Times New Roman" w:eastAsia="黑体" w:cs="Times New Roman"/>
          <w:sz w:val="24"/>
        </w:rPr>
        <w:t>3.5</w:t>
      </w:r>
      <w:r>
        <w:rPr>
          <w:rFonts w:hint="eastAsia" w:ascii="Times New Roman" w:hAnsi="Times New Roman" w:eastAsia="黑体" w:cs="Times New Roman"/>
          <w:sz w:val="24"/>
        </w:rPr>
        <w:t>-</w:t>
      </w:r>
      <w:r>
        <w:rPr>
          <w:rFonts w:ascii="Times New Roman" w:hAnsi="Times New Roman" w:eastAsia="黑体" w:cs="Times New Roman"/>
          <w:sz w:val="24"/>
        </w:rPr>
        <w:t>2</w:t>
      </w:r>
      <w:r>
        <w:rPr>
          <w:rFonts w:hint="eastAsia" w:ascii="Times New Roman" w:hAnsi="Times New Roman" w:eastAsia="黑体" w:cs="Times New Roman"/>
          <w:sz w:val="24"/>
        </w:rPr>
        <w:t xml:space="preserve">                       项目变更前后</w:t>
      </w:r>
      <w:r>
        <w:rPr>
          <w:rFonts w:hint="eastAsia" w:ascii="Times New Roman" w:hAnsi="Times New Roman" w:eastAsia="黑体"/>
          <w:sz w:val="24"/>
          <w:szCs w:val="24"/>
        </w:rPr>
        <w:t>溶剂精制单元-</w:t>
      </w:r>
      <w:r>
        <w:rPr>
          <w:rFonts w:hint="eastAsia" w:ascii="Times New Roman" w:hAnsi="Times New Roman" w:eastAsia="黑体" w:cs="Times New Roman"/>
          <w:sz w:val="24"/>
        </w:rPr>
        <w:t>丙烷脱沥青工序主要设备一览表</w:t>
      </w:r>
    </w:p>
    <w:tbl>
      <w:tblPr>
        <w:tblStyle w:val="19"/>
        <w:tblW w:w="1394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8"/>
        <w:gridCol w:w="2410"/>
        <w:gridCol w:w="3373"/>
        <w:gridCol w:w="728"/>
        <w:gridCol w:w="2730"/>
        <w:gridCol w:w="3251"/>
        <w:gridCol w:w="72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728" w:type="dxa"/>
            <w:vMerge w:val="restart"/>
            <w:vAlign w:val="center"/>
          </w:tcPr>
          <w:p>
            <w:pPr>
              <w:pStyle w:val="47"/>
            </w:pPr>
            <w:r>
              <w:t>序号</w:t>
            </w:r>
          </w:p>
        </w:tc>
        <w:tc>
          <w:tcPr>
            <w:tcW w:w="6511" w:type="dxa"/>
            <w:gridSpan w:val="3"/>
            <w:vAlign w:val="center"/>
          </w:tcPr>
          <w:p>
            <w:pPr>
              <w:pStyle w:val="47"/>
            </w:pPr>
            <w:r>
              <w:rPr>
                <w:rFonts w:hint="eastAsia"/>
              </w:rPr>
              <w:t>变更前</w:t>
            </w:r>
          </w:p>
        </w:tc>
        <w:tc>
          <w:tcPr>
            <w:tcW w:w="6709" w:type="dxa"/>
            <w:gridSpan w:val="3"/>
            <w:vAlign w:val="center"/>
          </w:tcPr>
          <w:p>
            <w:pPr>
              <w:pStyle w:val="47"/>
            </w:pPr>
            <w:r>
              <w:rPr>
                <w:rFonts w:hint="eastAsia"/>
              </w:rPr>
              <w:t>变更后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728" w:type="dxa"/>
            <w:vMerge w:val="continue"/>
            <w:vAlign w:val="center"/>
          </w:tcPr>
          <w:p>
            <w:pPr>
              <w:pStyle w:val="47"/>
            </w:pPr>
          </w:p>
        </w:tc>
        <w:tc>
          <w:tcPr>
            <w:tcW w:w="2410" w:type="dxa"/>
            <w:vAlign w:val="center"/>
          </w:tcPr>
          <w:p>
            <w:pPr>
              <w:pStyle w:val="47"/>
            </w:pPr>
            <w:r>
              <w:t>设备名称</w:t>
            </w:r>
          </w:p>
        </w:tc>
        <w:tc>
          <w:tcPr>
            <w:tcW w:w="3373" w:type="dxa"/>
            <w:vAlign w:val="center"/>
          </w:tcPr>
          <w:p>
            <w:pPr>
              <w:pStyle w:val="47"/>
            </w:pPr>
            <w:r>
              <w:t>规格型号</w:t>
            </w:r>
          </w:p>
        </w:tc>
        <w:tc>
          <w:tcPr>
            <w:tcW w:w="728" w:type="dxa"/>
            <w:vAlign w:val="center"/>
          </w:tcPr>
          <w:p>
            <w:pPr>
              <w:pStyle w:val="47"/>
            </w:pPr>
            <w:r>
              <w:t>台数</w:t>
            </w:r>
          </w:p>
        </w:tc>
        <w:tc>
          <w:tcPr>
            <w:tcW w:w="2730" w:type="dxa"/>
            <w:vAlign w:val="center"/>
          </w:tcPr>
          <w:p>
            <w:pPr>
              <w:pStyle w:val="47"/>
            </w:pPr>
            <w:r>
              <w:t>设备名称</w:t>
            </w:r>
          </w:p>
        </w:tc>
        <w:tc>
          <w:tcPr>
            <w:tcW w:w="3251" w:type="dxa"/>
            <w:vAlign w:val="center"/>
          </w:tcPr>
          <w:p>
            <w:pPr>
              <w:pStyle w:val="47"/>
            </w:pPr>
            <w:r>
              <w:t>规格型号</w:t>
            </w:r>
          </w:p>
        </w:tc>
        <w:tc>
          <w:tcPr>
            <w:tcW w:w="728" w:type="dxa"/>
            <w:vAlign w:val="center"/>
          </w:tcPr>
          <w:p>
            <w:pPr>
              <w:pStyle w:val="47"/>
            </w:pPr>
            <w:r>
              <w:t>台数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r>
              <w:t>一</w:t>
            </w:r>
          </w:p>
        </w:tc>
        <w:tc>
          <w:tcPr>
            <w:tcW w:w="6511" w:type="dxa"/>
            <w:gridSpan w:val="3"/>
            <w:vAlign w:val="center"/>
          </w:tcPr>
          <w:p>
            <w:pPr>
              <w:pStyle w:val="47"/>
            </w:pPr>
            <w:r>
              <w:t>塔类</w:t>
            </w:r>
          </w:p>
        </w:tc>
        <w:tc>
          <w:tcPr>
            <w:tcW w:w="6709" w:type="dxa"/>
            <w:gridSpan w:val="3"/>
            <w:vAlign w:val="center"/>
          </w:tcPr>
          <w:p>
            <w:pPr>
              <w:pStyle w:val="47"/>
            </w:pPr>
            <w:r>
              <w:t>塔类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r>
              <w:t>1</w:t>
            </w:r>
          </w:p>
        </w:tc>
        <w:tc>
          <w:tcPr>
            <w:tcW w:w="2410" w:type="dxa"/>
            <w:vAlign w:val="center"/>
          </w:tcPr>
          <w:p>
            <w:pPr>
              <w:pStyle w:val="47"/>
            </w:pPr>
            <w:r>
              <w:t>脱沥青油汽提塔</w:t>
            </w:r>
          </w:p>
        </w:tc>
        <w:tc>
          <w:tcPr>
            <w:tcW w:w="3373" w:type="dxa"/>
            <w:vAlign w:val="center"/>
          </w:tcPr>
          <w:p>
            <w:pPr>
              <w:pStyle w:val="47"/>
            </w:pPr>
            <w:r>
              <w:t>φ1000/φ800×19790</w:t>
            </w:r>
          </w:p>
        </w:tc>
        <w:tc>
          <w:tcPr>
            <w:tcW w:w="728" w:type="dxa"/>
            <w:vAlign w:val="center"/>
          </w:tcPr>
          <w:p>
            <w:pPr>
              <w:pStyle w:val="47"/>
            </w:pPr>
            <w:r>
              <w:t>1</w:t>
            </w:r>
          </w:p>
        </w:tc>
        <w:tc>
          <w:tcPr>
            <w:tcW w:w="2730" w:type="dxa"/>
            <w:vAlign w:val="bottom"/>
          </w:tcPr>
          <w:p>
            <w:pPr>
              <w:pStyle w:val="47"/>
            </w:pPr>
            <w:r>
              <w:rPr>
                <w:rFonts w:hint="eastAsia"/>
              </w:rPr>
              <w:t>含丙烷油汽提塔</w:t>
            </w:r>
          </w:p>
        </w:tc>
        <w:tc>
          <w:tcPr>
            <w:tcW w:w="3251" w:type="dxa"/>
            <w:vAlign w:val="bottom"/>
          </w:tcPr>
          <w:p>
            <w:pPr>
              <w:pStyle w:val="47"/>
            </w:pPr>
            <w:r>
              <w:rPr>
                <w:rFonts w:hint="eastAsia"/>
              </w:rPr>
              <w:t>DN1600×12×16600</w:t>
            </w:r>
          </w:p>
        </w:tc>
        <w:tc>
          <w:tcPr>
            <w:tcW w:w="728"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r>
              <w:t>2</w:t>
            </w:r>
          </w:p>
        </w:tc>
        <w:tc>
          <w:tcPr>
            <w:tcW w:w="2410" w:type="dxa"/>
            <w:vAlign w:val="center"/>
          </w:tcPr>
          <w:p>
            <w:pPr>
              <w:pStyle w:val="47"/>
            </w:pPr>
            <w:r>
              <w:t>沥青汽提塔</w:t>
            </w:r>
          </w:p>
        </w:tc>
        <w:tc>
          <w:tcPr>
            <w:tcW w:w="3373" w:type="dxa"/>
            <w:vAlign w:val="center"/>
          </w:tcPr>
          <w:p>
            <w:pPr>
              <w:pStyle w:val="47"/>
            </w:pPr>
            <w:r>
              <w:t>φ800×17910</w:t>
            </w:r>
          </w:p>
        </w:tc>
        <w:tc>
          <w:tcPr>
            <w:tcW w:w="728" w:type="dxa"/>
            <w:vAlign w:val="center"/>
          </w:tcPr>
          <w:p>
            <w:pPr>
              <w:pStyle w:val="47"/>
            </w:pPr>
            <w:r>
              <w:t>1</w:t>
            </w:r>
          </w:p>
        </w:tc>
        <w:tc>
          <w:tcPr>
            <w:tcW w:w="2730" w:type="dxa"/>
            <w:vAlign w:val="bottom"/>
          </w:tcPr>
          <w:p>
            <w:pPr>
              <w:pStyle w:val="47"/>
            </w:pPr>
            <w:r>
              <w:rPr>
                <w:rFonts w:hint="eastAsia"/>
              </w:rPr>
              <w:t>沥青汽提塔</w:t>
            </w:r>
          </w:p>
        </w:tc>
        <w:tc>
          <w:tcPr>
            <w:tcW w:w="3251" w:type="dxa"/>
            <w:vAlign w:val="bottom"/>
          </w:tcPr>
          <w:p>
            <w:pPr>
              <w:pStyle w:val="47"/>
            </w:pPr>
            <w:r>
              <w:rPr>
                <w:rFonts w:hint="eastAsia"/>
              </w:rPr>
              <w:t>DN1000×10×14300</w:t>
            </w:r>
          </w:p>
        </w:tc>
        <w:tc>
          <w:tcPr>
            <w:tcW w:w="728"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p>
        </w:tc>
        <w:tc>
          <w:tcPr>
            <w:tcW w:w="2410" w:type="dxa"/>
            <w:vAlign w:val="center"/>
          </w:tcPr>
          <w:p>
            <w:pPr>
              <w:pStyle w:val="47"/>
            </w:pPr>
          </w:p>
        </w:tc>
        <w:tc>
          <w:tcPr>
            <w:tcW w:w="3373" w:type="dxa"/>
            <w:vAlign w:val="center"/>
          </w:tcPr>
          <w:p>
            <w:pPr>
              <w:pStyle w:val="47"/>
            </w:pPr>
          </w:p>
        </w:tc>
        <w:tc>
          <w:tcPr>
            <w:tcW w:w="728" w:type="dxa"/>
            <w:vAlign w:val="center"/>
          </w:tcPr>
          <w:p>
            <w:pPr>
              <w:pStyle w:val="47"/>
            </w:pPr>
          </w:p>
        </w:tc>
        <w:tc>
          <w:tcPr>
            <w:tcW w:w="2730" w:type="dxa"/>
            <w:vAlign w:val="bottom"/>
          </w:tcPr>
          <w:p>
            <w:pPr>
              <w:pStyle w:val="47"/>
            </w:pPr>
            <w:r>
              <w:rPr>
                <w:rFonts w:hint="eastAsia"/>
              </w:rPr>
              <w:t>丙烷萃取塔</w:t>
            </w:r>
          </w:p>
        </w:tc>
        <w:tc>
          <w:tcPr>
            <w:tcW w:w="3251" w:type="dxa"/>
            <w:vAlign w:val="bottom"/>
          </w:tcPr>
          <w:p>
            <w:pPr>
              <w:pStyle w:val="47"/>
            </w:pPr>
            <w:r>
              <w:rPr>
                <w:rFonts w:hint="eastAsia"/>
              </w:rPr>
              <w:t>DN1000/1800×20/30×27229</w:t>
            </w:r>
          </w:p>
        </w:tc>
        <w:tc>
          <w:tcPr>
            <w:tcW w:w="728"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p>
        </w:tc>
        <w:tc>
          <w:tcPr>
            <w:tcW w:w="2410" w:type="dxa"/>
            <w:vAlign w:val="center"/>
          </w:tcPr>
          <w:p>
            <w:pPr>
              <w:pStyle w:val="47"/>
            </w:pPr>
          </w:p>
        </w:tc>
        <w:tc>
          <w:tcPr>
            <w:tcW w:w="3373" w:type="dxa"/>
            <w:vAlign w:val="center"/>
          </w:tcPr>
          <w:p>
            <w:pPr>
              <w:pStyle w:val="47"/>
            </w:pPr>
          </w:p>
        </w:tc>
        <w:tc>
          <w:tcPr>
            <w:tcW w:w="728" w:type="dxa"/>
            <w:vAlign w:val="center"/>
          </w:tcPr>
          <w:p>
            <w:pPr>
              <w:pStyle w:val="47"/>
            </w:pPr>
          </w:p>
        </w:tc>
        <w:tc>
          <w:tcPr>
            <w:tcW w:w="2730" w:type="dxa"/>
            <w:vAlign w:val="bottom"/>
          </w:tcPr>
          <w:p>
            <w:pPr>
              <w:pStyle w:val="47"/>
            </w:pPr>
            <w:r>
              <w:rPr>
                <w:rFonts w:hint="eastAsia"/>
              </w:rPr>
              <w:t>丙烷塔</w:t>
            </w:r>
          </w:p>
        </w:tc>
        <w:tc>
          <w:tcPr>
            <w:tcW w:w="3251" w:type="dxa"/>
            <w:vAlign w:val="bottom"/>
          </w:tcPr>
          <w:p>
            <w:pPr>
              <w:pStyle w:val="47"/>
            </w:pPr>
            <w:r>
              <w:rPr>
                <w:rFonts w:hint="eastAsia"/>
              </w:rPr>
              <w:t>DN1800×34×21800</w:t>
            </w:r>
          </w:p>
        </w:tc>
        <w:tc>
          <w:tcPr>
            <w:tcW w:w="728"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p>
        </w:tc>
        <w:tc>
          <w:tcPr>
            <w:tcW w:w="2410" w:type="dxa"/>
            <w:vAlign w:val="center"/>
          </w:tcPr>
          <w:p>
            <w:pPr>
              <w:pStyle w:val="47"/>
            </w:pPr>
          </w:p>
        </w:tc>
        <w:tc>
          <w:tcPr>
            <w:tcW w:w="3373" w:type="dxa"/>
            <w:vAlign w:val="center"/>
          </w:tcPr>
          <w:p>
            <w:pPr>
              <w:pStyle w:val="47"/>
            </w:pPr>
          </w:p>
        </w:tc>
        <w:tc>
          <w:tcPr>
            <w:tcW w:w="728" w:type="dxa"/>
            <w:vAlign w:val="center"/>
          </w:tcPr>
          <w:p>
            <w:pPr>
              <w:pStyle w:val="47"/>
            </w:pPr>
          </w:p>
        </w:tc>
        <w:tc>
          <w:tcPr>
            <w:tcW w:w="2730" w:type="dxa"/>
            <w:vAlign w:val="bottom"/>
          </w:tcPr>
          <w:p>
            <w:pPr>
              <w:pStyle w:val="47"/>
            </w:pPr>
            <w:r>
              <w:rPr>
                <w:rFonts w:hint="eastAsia"/>
              </w:rPr>
              <w:t>含丙烷油闪蒸塔</w:t>
            </w:r>
          </w:p>
        </w:tc>
        <w:tc>
          <w:tcPr>
            <w:tcW w:w="3251" w:type="dxa"/>
            <w:vAlign w:val="bottom"/>
          </w:tcPr>
          <w:p>
            <w:pPr>
              <w:pStyle w:val="47"/>
            </w:pPr>
            <w:r>
              <w:rPr>
                <w:rFonts w:hint="eastAsia"/>
              </w:rPr>
              <w:t>DN1600×16×17700</w:t>
            </w:r>
          </w:p>
        </w:tc>
        <w:tc>
          <w:tcPr>
            <w:tcW w:w="728"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r>
              <w:t>二</w:t>
            </w:r>
          </w:p>
        </w:tc>
        <w:tc>
          <w:tcPr>
            <w:tcW w:w="6511" w:type="dxa"/>
            <w:gridSpan w:val="3"/>
            <w:vAlign w:val="center"/>
          </w:tcPr>
          <w:p>
            <w:pPr>
              <w:pStyle w:val="47"/>
            </w:pPr>
            <w:r>
              <w:t>容器类</w:t>
            </w:r>
          </w:p>
        </w:tc>
        <w:tc>
          <w:tcPr>
            <w:tcW w:w="6709" w:type="dxa"/>
            <w:gridSpan w:val="3"/>
            <w:vAlign w:val="center"/>
          </w:tcPr>
          <w:p>
            <w:pPr>
              <w:pStyle w:val="47"/>
            </w:pPr>
            <w:r>
              <w:t>容器类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r>
              <w:t>1</w:t>
            </w:r>
          </w:p>
        </w:tc>
        <w:tc>
          <w:tcPr>
            <w:tcW w:w="2410" w:type="dxa"/>
            <w:vAlign w:val="center"/>
          </w:tcPr>
          <w:p>
            <w:pPr>
              <w:pStyle w:val="47"/>
            </w:pPr>
            <w:r>
              <w:t>抽提器</w:t>
            </w:r>
          </w:p>
        </w:tc>
        <w:tc>
          <w:tcPr>
            <w:tcW w:w="3373" w:type="dxa"/>
            <w:vAlign w:val="center"/>
          </w:tcPr>
          <w:p>
            <w:pPr>
              <w:pStyle w:val="47"/>
            </w:pPr>
            <w:r>
              <w:t>φ1800/φ800×31076</w:t>
            </w:r>
          </w:p>
        </w:tc>
        <w:tc>
          <w:tcPr>
            <w:tcW w:w="728" w:type="dxa"/>
            <w:vAlign w:val="center"/>
          </w:tcPr>
          <w:p>
            <w:pPr>
              <w:pStyle w:val="47"/>
            </w:pPr>
            <w:r>
              <w:t>1</w:t>
            </w:r>
          </w:p>
        </w:tc>
        <w:tc>
          <w:tcPr>
            <w:tcW w:w="2730" w:type="dxa"/>
            <w:vAlign w:val="bottom"/>
          </w:tcPr>
          <w:p>
            <w:pPr>
              <w:pStyle w:val="47"/>
            </w:pPr>
            <w:r>
              <w:rPr>
                <w:rFonts w:hint="eastAsia"/>
              </w:rPr>
              <w:t>萃取进料缓冲罐</w:t>
            </w:r>
          </w:p>
        </w:tc>
        <w:tc>
          <w:tcPr>
            <w:tcW w:w="3251" w:type="dxa"/>
            <w:vAlign w:val="bottom"/>
          </w:tcPr>
          <w:p>
            <w:pPr>
              <w:pStyle w:val="47"/>
            </w:pPr>
            <w:r>
              <w:rPr>
                <w:rFonts w:hint="eastAsia"/>
              </w:rPr>
              <w:t>Φ2400*12*7900</w:t>
            </w:r>
          </w:p>
        </w:tc>
        <w:tc>
          <w:tcPr>
            <w:tcW w:w="728"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r>
              <w:t>2</w:t>
            </w:r>
          </w:p>
        </w:tc>
        <w:tc>
          <w:tcPr>
            <w:tcW w:w="2410" w:type="dxa"/>
            <w:vAlign w:val="center"/>
          </w:tcPr>
          <w:p>
            <w:pPr>
              <w:pStyle w:val="47"/>
            </w:pPr>
            <w:r>
              <w:t>溶剂分离器</w:t>
            </w:r>
          </w:p>
        </w:tc>
        <w:tc>
          <w:tcPr>
            <w:tcW w:w="3373" w:type="dxa"/>
            <w:vAlign w:val="center"/>
          </w:tcPr>
          <w:p>
            <w:pPr>
              <w:pStyle w:val="47"/>
            </w:pPr>
            <w:r>
              <w:t>φ1400×12256</w:t>
            </w:r>
          </w:p>
        </w:tc>
        <w:tc>
          <w:tcPr>
            <w:tcW w:w="728" w:type="dxa"/>
            <w:vAlign w:val="center"/>
          </w:tcPr>
          <w:p>
            <w:pPr>
              <w:pStyle w:val="47"/>
            </w:pPr>
            <w:r>
              <w:t>1</w:t>
            </w:r>
          </w:p>
        </w:tc>
        <w:tc>
          <w:tcPr>
            <w:tcW w:w="2730" w:type="dxa"/>
            <w:vAlign w:val="bottom"/>
          </w:tcPr>
          <w:p>
            <w:pPr>
              <w:pStyle w:val="47"/>
            </w:pPr>
            <w:r>
              <w:rPr>
                <w:rFonts w:hint="eastAsia"/>
              </w:rPr>
              <w:t>丙烷循环罐</w:t>
            </w:r>
          </w:p>
        </w:tc>
        <w:tc>
          <w:tcPr>
            <w:tcW w:w="3251" w:type="dxa"/>
            <w:vAlign w:val="bottom"/>
          </w:tcPr>
          <w:p>
            <w:pPr>
              <w:pStyle w:val="47"/>
            </w:pPr>
            <w:r>
              <w:rPr>
                <w:rFonts w:hint="eastAsia"/>
              </w:rPr>
              <w:t>Φ1400*10*3770</w:t>
            </w:r>
          </w:p>
        </w:tc>
        <w:tc>
          <w:tcPr>
            <w:tcW w:w="728"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r>
              <w:t>3</w:t>
            </w:r>
          </w:p>
        </w:tc>
        <w:tc>
          <w:tcPr>
            <w:tcW w:w="2410" w:type="dxa"/>
            <w:vAlign w:val="center"/>
          </w:tcPr>
          <w:p>
            <w:pPr>
              <w:pStyle w:val="47"/>
            </w:pPr>
            <w:r>
              <w:t>溶剂器</w:t>
            </w:r>
          </w:p>
        </w:tc>
        <w:tc>
          <w:tcPr>
            <w:tcW w:w="3373" w:type="dxa"/>
            <w:vAlign w:val="center"/>
          </w:tcPr>
          <w:p>
            <w:pPr>
              <w:pStyle w:val="47"/>
            </w:pPr>
            <w:r>
              <w:t>φ1400×12256</w:t>
            </w:r>
          </w:p>
        </w:tc>
        <w:tc>
          <w:tcPr>
            <w:tcW w:w="728" w:type="dxa"/>
            <w:vAlign w:val="center"/>
          </w:tcPr>
          <w:p>
            <w:pPr>
              <w:pStyle w:val="47"/>
            </w:pPr>
            <w:r>
              <w:t>1</w:t>
            </w:r>
          </w:p>
        </w:tc>
        <w:tc>
          <w:tcPr>
            <w:tcW w:w="2730" w:type="dxa"/>
            <w:vAlign w:val="bottom"/>
          </w:tcPr>
          <w:p>
            <w:pPr>
              <w:pStyle w:val="47"/>
            </w:pPr>
            <w:r>
              <w:rPr>
                <w:rFonts w:hint="eastAsia"/>
              </w:rPr>
              <w:t>气体丙烷分液罐</w:t>
            </w:r>
          </w:p>
        </w:tc>
        <w:tc>
          <w:tcPr>
            <w:tcW w:w="3251" w:type="dxa"/>
            <w:vAlign w:val="bottom"/>
          </w:tcPr>
          <w:p>
            <w:pPr>
              <w:pStyle w:val="47"/>
            </w:pPr>
            <w:r>
              <w:rPr>
                <w:rFonts w:hint="eastAsia"/>
              </w:rPr>
              <w:t>Φ800*8*3300</w:t>
            </w:r>
          </w:p>
        </w:tc>
        <w:tc>
          <w:tcPr>
            <w:tcW w:w="728"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p>
        </w:tc>
        <w:tc>
          <w:tcPr>
            <w:tcW w:w="2410" w:type="dxa"/>
            <w:vAlign w:val="center"/>
          </w:tcPr>
          <w:p>
            <w:pPr>
              <w:pStyle w:val="47"/>
            </w:pPr>
          </w:p>
        </w:tc>
        <w:tc>
          <w:tcPr>
            <w:tcW w:w="3373" w:type="dxa"/>
            <w:vAlign w:val="center"/>
          </w:tcPr>
          <w:p>
            <w:pPr>
              <w:pStyle w:val="47"/>
            </w:pPr>
          </w:p>
        </w:tc>
        <w:tc>
          <w:tcPr>
            <w:tcW w:w="728" w:type="dxa"/>
            <w:vAlign w:val="center"/>
          </w:tcPr>
          <w:p>
            <w:pPr>
              <w:pStyle w:val="47"/>
            </w:pPr>
          </w:p>
        </w:tc>
        <w:tc>
          <w:tcPr>
            <w:tcW w:w="2730" w:type="dxa"/>
            <w:vAlign w:val="bottom"/>
          </w:tcPr>
          <w:p>
            <w:pPr>
              <w:pStyle w:val="47"/>
            </w:pPr>
            <w:r>
              <w:rPr>
                <w:rFonts w:hint="eastAsia"/>
              </w:rPr>
              <w:t>丙烷压缩机入口分液罐</w:t>
            </w:r>
          </w:p>
        </w:tc>
        <w:tc>
          <w:tcPr>
            <w:tcW w:w="3251" w:type="dxa"/>
            <w:vAlign w:val="bottom"/>
          </w:tcPr>
          <w:p>
            <w:pPr>
              <w:pStyle w:val="47"/>
            </w:pPr>
            <w:r>
              <w:rPr>
                <w:rFonts w:hint="eastAsia"/>
              </w:rPr>
              <w:t>Φ1600*16/18*8424</w:t>
            </w:r>
          </w:p>
        </w:tc>
        <w:tc>
          <w:tcPr>
            <w:tcW w:w="728"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p>
        </w:tc>
        <w:tc>
          <w:tcPr>
            <w:tcW w:w="2410" w:type="dxa"/>
            <w:vAlign w:val="center"/>
          </w:tcPr>
          <w:p>
            <w:pPr>
              <w:pStyle w:val="47"/>
            </w:pPr>
          </w:p>
        </w:tc>
        <w:tc>
          <w:tcPr>
            <w:tcW w:w="3373" w:type="dxa"/>
            <w:vAlign w:val="center"/>
          </w:tcPr>
          <w:p>
            <w:pPr>
              <w:pStyle w:val="47"/>
            </w:pPr>
          </w:p>
        </w:tc>
        <w:tc>
          <w:tcPr>
            <w:tcW w:w="728" w:type="dxa"/>
            <w:vAlign w:val="center"/>
          </w:tcPr>
          <w:p>
            <w:pPr>
              <w:pStyle w:val="47"/>
            </w:pPr>
          </w:p>
        </w:tc>
        <w:tc>
          <w:tcPr>
            <w:tcW w:w="2730" w:type="dxa"/>
            <w:vAlign w:val="bottom"/>
          </w:tcPr>
          <w:p>
            <w:pPr>
              <w:pStyle w:val="47"/>
            </w:pPr>
            <w:r>
              <w:rPr>
                <w:rFonts w:hint="eastAsia"/>
              </w:rPr>
              <w:t>冷凝丙烷罐</w:t>
            </w:r>
          </w:p>
        </w:tc>
        <w:tc>
          <w:tcPr>
            <w:tcW w:w="3251" w:type="dxa"/>
            <w:vAlign w:val="bottom"/>
          </w:tcPr>
          <w:p>
            <w:pPr>
              <w:pStyle w:val="47"/>
            </w:pPr>
            <w:r>
              <w:rPr>
                <w:rFonts w:hint="eastAsia"/>
              </w:rPr>
              <w:t>Φ2800*44/28*25700</w:t>
            </w:r>
          </w:p>
        </w:tc>
        <w:tc>
          <w:tcPr>
            <w:tcW w:w="728"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p>
        </w:tc>
        <w:tc>
          <w:tcPr>
            <w:tcW w:w="2410" w:type="dxa"/>
            <w:vAlign w:val="center"/>
          </w:tcPr>
          <w:p>
            <w:pPr>
              <w:pStyle w:val="47"/>
            </w:pPr>
          </w:p>
        </w:tc>
        <w:tc>
          <w:tcPr>
            <w:tcW w:w="3373" w:type="dxa"/>
            <w:vAlign w:val="center"/>
          </w:tcPr>
          <w:p>
            <w:pPr>
              <w:pStyle w:val="47"/>
            </w:pPr>
          </w:p>
        </w:tc>
        <w:tc>
          <w:tcPr>
            <w:tcW w:w="728" w:type="dxa"/>
            <w:vAlign w:val="center"/>
          </w:tcPr>
          <w:p>
            <w:pPr>
              <w:pStyle w:val="47"/>
            </w:pPr>
          </w:p>
        </w:tc>
        <w:tc>
          <w:tcPr>
            <w:tcW w:w="2730" w:type="dxa"/>
            <w:vAlign w:val="bottom"/>
          </w:tcPr>
          <w:p>
            <w:pPr>
              <w:pStyle w:val="47"/>
            </w:pPr>
            <w:r>
              <w:rPr>
                <w:rFonts w:hint="eastAsia"/>
              </w:rPr>
              <w:t>循环热水罐</w:t>
            </w:r>
          </w:p>
        </w:tc>
        <w:tc>
          <w:tcPr>
            <w:tcW w:w="3251" w:type="dxa"/>
            <w:vAlign w:val="bottom"/>
          </w:tcPr>
          <w:p>
            <w:pPr>
              <w:pStyle w:val="47"/>
            </w:pPr>
            <w:r>
              <w:rPr>
                <w:rFonts w:hint="eastAsia"/>
              </w:rPr>
              <w:t>Φ2000*12*8850</w:t>
            </w:r>
          </w:p>
        </w:tc>
        <w:tc>
          <w:tcPr>
            <w:tcW w:w="728"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r>
              <w:t>三</w:t>
            </w:r>
          </w:p>
        </w:tc>
        <w:tc>
          <w:tcPr>
            <w:tcW w:w="6511" w:type="dxa"/>
            <w:gridSpan w:val="3"/>
            <w:vAlign w:val="center"/>
          </w:tcPr>
          <w:p>
            <w:pPr>
              <w:pStyle w:val="47"/>
            </w:pPr>
            <w:r>
              <w:t>机泵类</w:t>
            </w:r>
          </w:p>
        </w:tc>
        <w:tc>
          <w:tcPr>
            <w:tcW w:w="6709" w:type="dxa"/>
            <w:gridSpan w:val="3"/>
            <w:vAlign w:val="center"/>
          </w:tcPr>
          <w:p>
            <w:pPr>
              <w:pStyle w:val="47"/>
            </w:pPr>
            <w:r>
              <w:t>机泵类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r>
              <w:t>1</w:t>
            </w:r>
          </w:p>
        </w:tc>
        <w:tc>
          <w:tcPr>
            <w:tcW w:w="2410" w:type="dxa"/>
            <w:vAlign w:val="center"/>
          </w:tcPr>
          <w:p>
            <w:pPr>
              <w:pStyle w:val="47"/>
            </w:pPr>
            <w:r>
              <w:t>丙脱原料泵</w:t>
            </w:r>
          </w:p>
        </w:tc>
        <w:tc>
          <w:tcPr>
            <w:tcW w:w="3373" w:type="dxa"/>
            <w:vAlign w:val="center"/>
          </w:tcPr>
          <w:p>
            <w:pPr>
              <w:pStyle w:val="47"/>
            </w:pPr>
            <w:r>
              <w:t>150Y</w:t>
            </w:r>
            <w:r>
              <w:rPr>
                <w:rFonts w:hint="eastAsia"/>
              </w:rPr>
              <w:t>Ⅱ</w:t>
            </w:r>
            <w:r>
              <w:t>-67×9</w:t>
            </w:r>
          </w:p>
        </w:tc>
        <w:tc>
          <w:tcPr>
            <w:tcW w:w="728" w:type="dxa"/>
            <w:vAlign w:val="center"/>
          </w:tcPr>
          <w:p>
            <w:pPr>
              <w:pStyle w:val="47"/>
            </w:pPr>
            <w:r>
              <w:t>2</w:t>
            </w:r>
          </w:p>
        </w:tc>
        <w:tc>
          <w:tcPr>
            <w:tcW w:w="2730" w:type="dxa"/>
            <w:vAlign w:val="center"/>
          </w:tcPr>
          <w:p>
            <w:pPr>
              <w:pStyle w:val="47"/>
            </w:pPr>
            <w:r>
              <w:rPr>
                <w:rFonts w:hint="eastAsia"/>
              </w:rPr>
              <w:t>萃取进料泵</w:t>
            </w:r>
          </w:p>
        </w:tc>
        <w:tc>
          <w:tcPr>
            <w:tcW w:w="3251"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DMC50-220(L)X9</w:t>
            </w:r>
          </w:p>
        </w:tc>
        <w:tc>
          <w:tcPr>
            <w:tcW w:w="728" w:type="dxa"/>
            <w:vAlign w:val="bottom"/>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r>
              <w:t>2</w:t>
            </w:r>
          </w:p>
        </w:tc>
        <w:tc>
          <w:tcPr>
            <w:tcW w:w="2410" w:type="dxa"/>
            <w:vAlign w:val="center"/>
          </w:tcPr>
          <w:p>
            <w:pPr>
              <w:pStyle w:val="47"/>
            </w:pPr>
            <w:r>
              <w:t>脱沥青油汽提塔底泵</w:t>
            </w:r>
          </w:p>
        </w:tc>
        <w:tc>
          <w:tcPr>
            <w:tcW w:w="3373" w:type="dxa"/>
            <w:vAlign w:val="center"/>
          </w:tcPr>
          <w:p>
            <w:pPr>
              <w:pStyle w:val="47"/>
            </w:pPr>
            <w:r>
              <w:t>80AY</w:t>
            </w:r>
            <w:r>
              <w:rPr>
                <w:rFonts w:hint="eastAsia"/>
              </w:rPr>
              <w:t>Ⅲ</w:t>
            </w:r>
            <w:r>
              <w:t>-60</w:t>
            </w:r>
          </w:p>
        </w:tc>
        <w:tc>
          <w:tcPr>
            <w:tcW w:w="728" w:type="dxa"/>
            <w:vAlign w:val="center"/>
          </w:tcPr>
          <w:p>
            <w:pPr>
              <w:pStyle w:val="47"/>
            </w:pPr>
            <w:r>
              <w:t>2</w:t>
            </w:r>
          </w:p>
        </w:tc>
        <w:tc>
          <w:tcPr>
            <w:tcW w:w="2730" w:type="dxa"/>
            <w:vAlign w:val="center"/>
          </w:tcPr>
          <w:p>
            <w:pPr>
              <w:pStyle w:val="47"/>
            </w:pPr>
            <w:r>
              <w:rPr>
                <w:rFonts w:hint="eastAsia"/>
              </w:rPr>
              <w:t>丙烷循环泵</w:t>
            </w:r>
          </w:p>
        </w:tc>
        <w:tc>
          <w:tcPr>
            <w:tcW w:w="3251" w:type="dxa"/>
            <w:vAlign w:val="center"/>
          </w:tcPr>
          <w:p>
            <w:pPr>
              <w:pStyle w:val="47"/>
            </w:pPr>
            <w:r>
              <w:rPr>
                <w:rFonts w:hint="eastAsia"/>
              </w:rPr>
              <w:t>150AY150X2</w:t>
            </w:r>
          </w:p>
        </w:tc>
        <w:tc>
          <w:tcPr>
            <w:tcW w:w="728" w:type="dxa"/>
            <w:vAlign w:val="bottom"/>
          </w:tcPr>
          <w:p>
            <w:pPr>
              <w:pStyle w:val="47"/>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r>
              <w:t>3</w:t>
            </w:r>
          </w:p>
        </w:tc>
        <w:tc>
          <w:tcPr>
            <w:tcW w:w="2410" w:type="dxa"/>
            <w:vAlign w:val="center"/>
          </w:tcPr>
          <w:p>
            <w:pPr>
              <w:pStyle w:val="47"/>
            </w:pPr>
            <w:r>
              <w:t>沥青汽提塔循环泵</w:t>
            </w:r>
          </w:p>
        </w:tc>
        <w:tc>
          <w:tcPr>
            <w:tcW w:w="3373" w:type="dxa"/>
            <w:vAlign w:val="center"/>
          </w:tcPr>
          <w:p>
            <w:pPr>
              <w:pStyle w:val="47"/>
            </w:pPr>
            <w:r>
              <w:t>50AY</w:t>
            </w:r>
            <w:r>
              <w:rPr>
                <w:rFonts w:hint="eastAsia"/>
              </w:rPr>
              <w:t>Ⅲ</w:t>
            </w:r>
            <w:r>
              <w:t>-60A</w:t>
            </w:r>
          </w:p>
        </w:tc>
        <w:tc>
          <w:tcPr>
            <w:tcW w:w="728" w:type="dxa"/>
            <w:vAlign w:val="center"/>
          </w:tcPr>
          <w:p>
            <w:pPr>
              <w:pStyle w:val="47"/>
            </w:pPr>
            <w:r>
              <w:t>2</w:t>
            </w:r>
          </w:p>
        </w:tc>
        <w:tc>
          <w:tcPr>
            <w:tcW w:w="2730" w:type="dxa"/>
            <w:vAlign w:val="center"/>
          </w:tcPr>
          <w:p>
            <w:pPr>
              <w:pStyle w:val="47"/>
            </w:pPr>
            <w:r>
              <w:rPr>
                <w:rFonts w:hint="eastAsia"/>
              </w:rPr>
              <w:t>原料油泵</w:t>
            </w:r>
          </w:p>
        </w:tc>
        <w:tc>
          <w:tcPr>
            <w:tcW w:w="3251" w:type="dxa"/>
            <w:vAlign w:val="center"/>
          </w:tcPr>
          <w:p>
            <w:pPr>
              <w:pStyle w:val="47"/>
            </w:pPr>
            <w:r>
              <w:rPr>
                <w:rFonts w:hint="eastAsia"/>
              </w:rPr>
              <w:t>LZE40-400</w:t>
            </w:r>
          </w:p>
        </w:tc>
        <w:tc>
          <w:tcPr>
            <w:tcW w:w="728" w:type="dxa"/>
            <w:vAlign w:val="bottom"/>
          </w:tcPr>
          <w:p>
            <w:pPr>
              <w:pStyle w:val="47"/>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r>
              <w:t>4</w:t>
            </w:r>
          </w:p>
        </w:tc>
        <w:tc>
          <w:tcPr>
            <w:tcW w:w="2410" w:type="dxa"/>
            <w:vAlign w:val="center"/>
          </w:tcPr>
          <w:p>
            <w:pPr>
              <w:pStyle w:val="47"/>
            </w:pPr>
            <w:r>
              <w:t>抽提器抽出泵</w:t>
            </w:r>
          </w:p>
        </w:tc>
        <w:tc>
          <w:tcPr>
            <w:tcW w:w="3373" w:type="dxa"/>
            <w:vAlign w:val="center"/>
          </w:tcPr>
          <w:p>
            <w:pPr>
              <w:pStyle w:val="47"/>
            </w:pPr>
            <w:r>
              <w:t>65AY</w:t>
            </w:r>
            <w:r>
              <w:rPr>
                <w:rFonts w:hint="eastAsia"/>
              </w:rPr>
              <w:t>Ⅱ</w:t>
            </w:r>
            <w:r>
              <w:t>-100</w:t>
            </w:r>
          </w:p>
        </w:tc>
        <w:tc>
          <w:tcPr>
            <w:tcW w:w="728" w:type="dxa"/>
            <w:vAlign w:val="center"/>
          </w:tcPr>
          <w:p>
            <w:pPr>
              <w:pStyle w:val="47"/>
            </w:pPr>
            <w:r>
              <w:t>2</w:t>
            </w:r>
          </w:p>
        </w:tc>
        <w:tc>
          <w:tcPr>
            <w:tcW w:w="2730" w:type="dxa"/>
            <w:vAlign w:val="center"/>
          </w:tcPr>
          <w:p>
            <w:pPr>
              <w:pStyle w:val="47"/>
            </w:pPr>
            <w:r>
              <w:rPr>
                <w:rFonts w:hint="eastAsia"/>
              </w:rPr>
              <w:t>沥青泵</w:t>
            </w:r>
          </w:p>
        </w:tc>
        <w:tc>
          <w:tcPr>
            <w:tcW w:w="3251" w:type="dxa"/>
            <w:vAlign w:val="center"/>
          </w:tcPr>
          <w:p>
            <w:pPr>
              <w:pStyle w:val="47"/>
            </w:pPr>
            <w:r>
              <w:rPr>
                <w:rFonts w:hint="eastAsia"/>
              </w:rPr>
              <w:t>2GRNa48-80BT8</w:t>
            </w:r>
          </w:p>
        </w:tc>
        <w:tc>
          <w:tcPr>
            <w:tcW w:w="728" w:type="dxa"/>
            <w:vAlign w:val="bottom"/>
          </w:tcPr>
          <w:p>
            <w:pPr>
              <w:pStyle w:val="47"/>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r>
              <w:t>5</w:t>
            </w:r>
          </w:p>
        </w:tc>
        <w:tc>
          <w:tcPr>
            <w:tcW w:w="2410" w:type="dxa"/>
            <w:vAlign w:val="center"/>
          </w:tcPr>
          <w:p>
            <w:pPr>
              <w:pStyle w:val="47"/>
            </w:pPr>
            <w:r>
              <w:t>溶剂泵</w:t>
            </w:r>
          </w:p>
        </w:tc>
        <w:tc>
          <w:tcPr>
            <w:tcW w:w="3373" w:type="dxa"/>
            <w:vAlign w:val="center"/>
          </w:tcPr>
          <w:p>
            <w:pPr>
              <w:pStyle w:val="47"/>
            </w:pPr>
            <w:r>
              <w:t>DVM×3.4.9NH/11st</w:t>
            </w:r>
          </w:p>
        </w:tc>
        <w:tc>
          <w:tcPr>
            <w:tcW w:w="728" w:type="dxa"/>
            <w:vAlign w:val="center"/>
          </w:tcPr>
          <w:p>
            <w:pPr>
              <w:pStyle w:val="47"/>
            </w:pPr>
            <w:r>
              <w:t>2</w:t>
            </w:r>
          </w:p>
        </w:tc>
        <w:tc>
          <w:tcPr>
            <w:tcW w:w="2730" w:type="dxa"/>
            <w:vAlign w:val="center"/>
          </w:tcPr>
          <w:p>
            <w:pPr>
              <w:pStyle w:val="47"/>
            </w:pPr>
            <w:r>
              <w:rPr>
                <w:rFonts w:hint="eastAsia"/>
              </w:rPr>
              <w:t>冷凝丙烷泵</w:t>
            </w:r>
          </w:p>
        </w:tc>
        <w:tc>
          <w:tcPr>
            <w:tcW w:w="3251" w:type="dxa"/>
            <w:vAlign w:val="center"/>
          </w:tcPr>
          <w:p>
            <w:pPr>
              <w:pStyle w:val="47"/>
            </w:pPr>
            <w:r>
              <w:rPr>
                <w:rFonts w:hint="eastAsia"/>
              </w:rPr>
              <w:t>3DSJ-7/6</w:t>
            </w:r>
          </w:p>
        </w:tc>
        <w:tc>
          <w:tcPr>
            <w:tcW w:w="728" w:type="dxa"/>
            <w:vAlign w:val="bottom"/>
          </w:tcPr>
          <w:p>
            <w:pPr>
              <w:pStyle w:val="47"/>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r>
              <w:t>6</w:t>
            </w:r>
          </w:p>
        </w:tc>
        <w:tc>
          <w:tcPr>
            <w:tcW w:w="2410" w:type="dxa"/>
            <w:vAlign w:val="center"/>
          </w:tcPr>
          <w:p>
            <w:pPr>
              <w:pStyle w:val="47"/>
            </w:pPr>
            <w:r>
              <w:t>沥青汽提塔底泵</w:t>
            </w:r>
          </w:p>
        </w:tc>
        <w:tc>
          <w:tcPr>
            <w:tcW w:w="3373" w:type="dxa"/>
            <w:vAlign w:val="center"/>
          </w:tcPr>
          <w:p>
            <w:pPr>
              <w:pStyle w:val="47"/>
            </w:pPr>
            <w:r>
              <w:t>RPH.50.280</w:t>
            </w:r>
          </w:p>
        </w:tc>
        <w:tc>
          <w:tcPr>
            <w:tcW w:w="728" w:type="dxa"/>
            <w:vAlign w:val="center"/>
          </w:tcPr>
          <w:p>
            <w:pPr>
              <w:pStyle w:val="47"/>
            </w:pPr>
            <w:r>
              <w:t>2</w:t>
            </w:r>
          </w:p>
        </w:tc>
        <w:tc>
          <w:tcPr>
            <w:tcW w:w="2730" w:type="dxa"/>
            <w:vAlign w:val="center"/>
          </w:tcPr>
          <w:p>
            <w:pPr>
              <w:pStyle w:val="47"/>
            </w:pPr>
            <w:r>
              <w:rPr>
                <w:rFonts w:hint="eastAsia"/>
              </w:rPr>
              <w:t>循环热水泵</w:t>
            </w:r>
          </w:p>
        </w:tc>
        <w:tc>
          <w:tcPr>
            <w:tcW w:w="3251" w:type="dxa"/>
            <w:vAlign w:val="center"/>
          </w:tcPr>
          <w:p>
            <w:pPr>
              <w:pStyle w:val="47"/>
            </w:pPr>
            <w:r>
              <w:rPr>
                <w:rFonts w:hint="eastAsia"/>
              </w:rPr>
              <w:t>LZA80-250</w:t>
            </w:r>
          </w:p>
        </w:tc>
        <w:tc>
          <w:tcPr>
            <w:tcW w:w="728" w:type="dxa"/>
            <w:vAlign w:val="bottom"/>
          </w:tcPr>
          <w:p>
            <w:pPr>
              <w:pStyle w:val="47"/>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p>
        </w:tc>
        <w:tc>
          <w:tcPr>
            <w:tcW w:w="2410" w:type="dxa"/>
            <w:vAlign w:val="center"/>
          </w:tcPr>
          <w:p>
            <w:pPr>
              <w:pStyle w:val="47"/>
            </w:pPr>
          </w:p>
        </w:tc>
        <w:tc>
          <w:tcPr>
            <w:tcW w:w="3373" w:type="dxa"/>
            <w:vAlign w:val="center"/>
          </w:tcPr>
          <w:p>
            <w:pPr>
              <w:pStyle w:val="47"/>
            </w:pPr>
          </w:p>
        </w:tc>
        <w:tc>
          <w:tcPr>
            <w:tcW w:w="728" w:type="dxa"/>
            <w:vAlign w:val="center"/>
          </w:tcPr>
          <w:p>
            <w:pPr>
              <w:pStyle w:val="47"/>
            </w:pPr>
          </w:p>
        </w:tc>
        <w:tc>
          <w:tcPr>
            <w:tcW w:w="2730" w:type="dxa"/>
            <w:vAlign w:val="center"/>
          </w:tcPr>
          <w:p>
            <w:pPr>
              <w:pStyle w:val="47"/>
            </w:pPr>
            <w:r>
              <w:rPr>
                <w:rFonts w:hint="eastAsia"/>
              </w:rPr>
              <w:t>沥青装车泵</w:t>
            </w:r>
          </w:p>
        </w:tc>
        <w:tc>
          <w:tcPr>
            <w:tcW w:w="3251" w:type="dxa"/>
            <w:vAlign w:val="center"/>
          </w:tcPr>
          <w:p>
            <w:pPr>
              <w:pStyle w:val="47"/>
            </w:pPr>
            <w:r>
              <w:rPr>
                <w:rFonts w:hint="eastAsia"/>
              </w:rPr>
              <w:t>HWG140-80ST14</w:t>
            </w:r>
          </w:p>
        </w:tc>
        <w:tc>
          <w:tcPr>
            <w:tcW w:w="728" w:type="dxa"/>
            <w:vAlign w:val="bottom"/>
          </w:tcPr>
          <w:p>
            <w:pPr>
              <w:pStyle w:val="47"/>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r>
              <w:t>四</w:t>
            </w:r>
          </w:p>
        </w:tc>
        <w:tc>
          <w:tcPr>
            <w:tcW w:w="6511" w:type="dxa"/>
            <w:gridSpan w:val="3"/>
            <w:vAlign w:val="center"/>
          </w:tcPr>
          <w:p>
            <w:pPr>
              <w:pStyle w:val="47"/>
            </w:pPr>
            <w:r>
              <w:t>冷换设备类</w:t>
            </w:r>
          </w:p>
        </w:tc>
        <w:tc>
          <w:tcPr>
            <w:tcW w:w="6709" w:type="dxa"/>
            <w:gridSpan w:val="3"/>
            <w:vAlign w:val="center"/>
          </w:tcPr>
          <w:p>
            <w:pPr>
              <w:pStyle w:val="47"/>
            </w:pPr>
            <w:r>
              <w:t>冷换设备类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r>
              <w:t>1</w:t>
            </w:r>
          </w:p>
        </w:tc>
        <w:tc>
          <w:tcPr>
            <w:tcW w:w="2410" w:type="dxa"/>
            <w:vAlign w:val="center"/>
          </w:tcPr>
          <w:p>
            <w:pPr>
              <w:pStyle w:val="47"/>
            </w:pPr>
            <w:r>
              <w:t>脱沥青-溶剂换热器</w:t>
            </w:r>
          </w:p>
        </w:tc>
        <w:tc>
          <w:tcPr>
            <w:tcW w:w="3373" w:type="dxa"/>
            <w:vAlign w:val="center"/>
          </w:tcPr>
          <w:p>
            <w:pPr>
              <w:pStyle w:val="47"/>
            </w:pPr>
            <w:r>
              <w:t>BES700-2.5-125-6/25-2I B=200</w:t>
            </w:r>
          </w:p>
        </w:tc>
        <w:tc>
          <w:tcPr>
            <w:tcW w:w="728" w:type="dxa"/>
            <w:vAlign w:val="center"/>
          </w:tcPr>
          <w:p>
            <w:pPr>
              <w:pStyle w:val="47"/>
            </w:pPr>
            <w:r>
              <w:t>1</w:t>
            </w:r>
          </w:p>
        </w:tc>
        <w:tc>
          <w:tcPr>
            <w:tcW w:w="2730" w:type="dxa"/>
            <w:vAlign w:val="center"/>
          </w:tcPr>
          <w:p>
            <w:pPr>
              <w:pStyle w:val="47"/>
            </w:pPr>
            <w:r>
              <w:rPr>
                <w:rFonts w:hint="eastAsia"/>
              </w:rPr>
              <w:t xml:space="preserve">萃取液加热器 </w:t>
            </w:r>
          </w:p>
        </w:tc>
        <w:tc>
          <w:tcPr>
            <w:tcW w:w="3251"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BES1000-6.4-255-6/25-6Ⅰ</w:t>
            </w:r>
          </w:p>
        </w:tc>
        <w:tc>
          <w:tcPr>
            <w:tcW w:w="728" w:type="dxa"/>
            <w:vAlign w:val="bottom"/>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r>
              <w:t>2</w:t>
            </w:r>
          </w:p>
        </w:tc>
        <w:tc>
          <w:tcPr>
            <w:tcW w:w="2410" w:type="dxa"/>
            <w:vAlign w:val="center"/>
          </w:tcPr>
          <w:p>
            <w:pPr>
              <w:pStyle w:val="47"/>
            </w:pPr>
            <w:r>
              <w:t>沥青换热器</w:t>
            </w:r>
          </w:p>
        </w:tc>
        <w:tc>
          <w:tcPr>
            <w:tcW w:w="3373" w:type="dxa"/>
            <w:vAlign w:val="center"/>
          </w:tcPr>
          <w:p>
            <w:pPr>
              <w:pStyle w:val="47"/>
            </w:pPr>
            <w:r>
              <w:t>AES700-2.5-120-6/25-4</w:t>
            </w:r>
            <w:r>
              <w:rPr>
                <w:rFonts w:hint="eastAsia"/>
              </w:rPr>
              <w:t>Ⅱ</w:t>
            </w:r>
          </w:p>
        </w:tc>
        <w:tc>
          <w:tcPr>
            <w:tcW w:w="728" w:type="dxa"/>
            <w:vAlign w:val="center"/>
          </w:tcPr>
          <w:p>
            <w:pPr>
              <w:pStyle w:val="47"/>
            </w:pPr>
            <w:r>
              <w:t>1</w:t>
            </w:r>
          </w:p>
        </w:tc>
        <w:tc>
          <w:tcPr>
            <w:tcW w:w="2730" w:type="dxa"/>
            <w:vAlign w:val="center"/>
          </w:tcPr>
          <w:p>
            <w:pPr>
              <w:pStyle w:val="47"/>
            </w:pPr>
            <w:r>
              <w:rPr>
                <w:rFonts w:hint="eastAsia"/>
              </w:rPr>
              <w:t>含丙烷沥青加热器</w:t>
            </w:r>
          </w:p>
        </w:tc>
        <w:tc>
          <w:tcPr>
            <w:tcW w:w="3251" w:type="dxa"/>
            <w:vAlign w:val="center"/>
          </w:tcPr>
          <w:p>
            <w:pPr>
              <w:pStyle w:val="47"/>
            </w:pPr>
            <w:r>
              <w:rPr>
                <w:rFonts w:hint="eastAsia"/>
              </w:rPr>
              <w:t>BES400-6.4-30-6/25-4Ⅰ</w:t>
            </w:r>
          </w:p>
        </w:tc>
        <w:tc>
          <w:tcPr>
            <w:tcW w:w="728"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r>
              <w:t>3</w:t>
            </w:r>
          </w:p>
        </w:tc>
        <w:tc>
          <w:tcPr>
            <w:tcW w:w="2410" w:type="dxa"/>
            <w:vAlign w:val="center"/>
          </w:tcPr>
          <w:p>
            <w:pPr>
              <w:pStyle w:val="47"/>
            </w:pPr>
            <w:r>
              <w:t>脱沥青油冷却器</w:t>
            </w:r>
          </w:p>
        </w:tc>
        <w:tc>
          <w:tcPr>
            <w:tcW w:w="3373" w:type="dxa"/>
            <w:vAlign w:val="center"/>
          </w:tcPr>
          <w:p>
            <w:pPr>
              <w:pStyle w:val="47"/>
            </w:pPr>
            <w:r>
              <w:t>BES900-2.5-210-6/25-4</w:t>
            </w:r>
            <w:r>
              <w:rPr>
                <w:rFonts w:hint="eastAsia"/>
              </w:rPr>
              <w:t>Ⅱ</w:t>
            </w:r>
          </w:p>
        </w:tc>
        <w:tc>
          <w:tcPr>
            <w:tcW w:w="728" w:type="dxa"/>
            <w:vAlign w:val="center"/>
          </w:tcPr>
          <w:p>
            <w:pPr>
              <w:pStyle w:val="47"/>
            </w:pPr>
            <w:r>
              <w:t>1</w:t>
            </w:r>
          </w:p>
        </w:tc>
        <w:tc>
          <w:tcPr>
            <w:tcW w:w="2730" w:type="dxa"/>
            <w:vAlign w:val="center"/>
          </w:tcPr>
          <w:p>
            <w:pPr>
              <w:pStyle w:val="47"/>
            </w:pPr>
            <w:r>
              <w:rPr>
                <w:rFonts w:hint="eastAsia"/>
              </w:rPr>
              <w:t>含丙烷油加热器</w:t>
            </w:r>
          </w:p>
        </w:tc>
        <w:tc>
          <w:tcPr>
            <w:tcW w:w="3251" w:type="dxa"/>
            <w:vAlign w:val="center"/>
          </w:tcPr>
          <w:p>
            <w:pPr>
              <w:pStyle w:val="47"/>
            </w:pPr>
            <w:r>
              <w:rPr>
                <w:rFonts w:hint="eastAsia"/>
              </w:rPr>
              <w:t>BES500-2.5-25-3/25-4Ⅰ</w:t>
            </w:r>
          </w:p>
        </w:tc>
        <w:tc>
          <w:tcPr>
            <w:tcW w:w="728"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r>
              <w:t>4</w:t>
            </w:r>
          </w:p>
        </w:tc>
        <w:tc>
          <w:tcPr>
            <w:tcW w:w="2410" w:type="dxa"/>
            <w:vAlign w:val="center"/>
          </w:tcPr>
          <w:p>
            <w:pPr>
              <w:pStyle w:val="47"/>
            </w:pPr>
            <w:r>
              <w:t>沥青冷却器</w:t>
            </w:r>
          </w:p>
        </w:tc>
        <w:tc>
          <w:tcPr>
            <w:tcW w:w="3373" w:type="dxa"/>
            <w:vAlign w:val="center"/>
          </w:tcPr>
          <w:p>
            <w:pPr>
              <w:pStyle w:val="47"/>
            </w:pPr>
            <w:r>
              <w:t>BES700-2.5-125-6/25-2I B=200</w:t>
            </w:r>
          </w:p>
        </w:tc>
        <w:tc>
          <w:tcPr>
            <w:tcW w:w="728" w:type="dxa"/>
            <w:vAlign w:val="center"/>
          </w:tcPr>
          <w:p>
            <w:pPr>
              <w:pStyle w:val="47"/>
            </w:pPr>
            <w:r>
              <w:t>1</w:t>
            </w:r>
          </w:p>
        </w:tc>
        <w:tc>
          <w:tcPr>
            <w:tcW w:w="2730" w:type="dxa"/>
            <w:vAlign w:val="center"/>
          </w:tcPr>
          <w:p>
            <w:pPr>
              <w:pStyle w:val="47"/>
            </w:pPr>
            <w:r>
              <w:rPr>
                <w:rFonts w:hint="eastAsia"/>
              </w:rPr>
              <w:t>原料油-热水换热器</w:t>
            </w:r>
          </w:p>
        </w:tc>
        <w:tc>
          <w:tcPr>
            <w:tcW w:w="3251" w:type="dxa"/>
            <w:vAlign w:val="center"/>
          </w:tcPr>
          <w:p>
            <w:pPr>
              <w:pStyle w:val="47"/>
            </w:pPr>
            <w:r>
              <w:rPr>
                <w:rFonts w:hint="eastAsia"/>
              </w:rPr>
              <w:t>BES700-2.5-120-6/25-4Ⅰ</w:t>
            </w:r>
          </w:p>
        </w:tc>
        <w:tc>
          <w:tcPr>
            <w:tcW w:w="728"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r>
              <w:t>5</w:t>
            </w:r>
          </w:p>
        </w:tc>
        <w:tc>
          <w:tcPr>
            <w:tcW w:w="2410" w:type="dxa"/>
            <w:vAlign w:val="center"/>
          </w:tcPr>
          <w:p>
            <w:pPr>
              <w:pStyle w:val="47"/>
            </w:pPr>
            <w:r>
              <w:t>溶剂空冷器</w:t>
            </w:r>
          </w:p>
        </w:tc>
        <w:tc>
          <w:tcPr>
            <w:tcW w:w="3373" w:type="dxa"/>
            <w:vAlign w:val="center"/>
          </w:tcPr>
          <w:p>
            <w:pPr>
              <w:pStyle w:val="47"/>
            </w:pPr>
          </w:p>
        </w:tc>
        <w:tc>
          <w:tcPr>
            <w:tcW w:w="728" w:type="dxa"/>
            <w:vAlign w:val="center"/>
          </w:tcPr>
          <w:p>
            <w:pPr>
              <w:pStyle w:val="47"/>
            </w:pPr>
            <w:r>
              <w:t>1</w:t>
            </w:r>
          </w:p>
        </w:tc>
        <w:tc>
          <w:tcPr>
            <w:tcW w:w="2730" w:type="dxa"/>
            <w:vAlign w:val="center"/>
          </w:tcPr>
          <w:p>
            <w:pPr>
              <w:pStyle w:val="47"/>
            </w:pPr>
            <w:r>
              <w:rPr>
                <w:rFonts w:hint="eastAsia"/>
              </w:rPr>
              <w:t>循环热水加热器</w:t>
            </w:r>
          </w:p>
        </w:tc>
        <w:tc>
          <w:tcPr>
            <w:tcW w:w="3251" w:type="dxa"/>
            <w:vAlign w:val="center"/>
          </w:tcPr>
          <w:p>
            <w:pPr>
              <w:pStyle w:val="47"/>
            </w:pPr>
            <w:r>
              <w:rPr>
                <w:rFonts w:hint="eastAsia"/>
              </w:rPr>
              <w:t>BES500-2.5-30-3/25-2Ⅰ</w:t>
            </w:r>
          </w:p>
        </w:tc>
        <w:tc>
          <w:tcPr>
            <w:tcW w:w="728"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r>
              <w:t>6</w:t>
            </w:r>
          </w:p>
        </w:tc>
        <w:tc>
          <w:tcPr>
            <w:tcW w:w="2410" w:type="dxa"/>
            <w:vAlign w:val="center"/>
          </w:tcPr>
          <w:p>
            <w:pPr>
              <w:pStyle w:val="47"/>
            </w:pPr>
            <w:r>
              <w:t>低压溶剂空冷器</w:t>
            </w:r>
          </w:p>
        </w:tc>
        <w:tc>
          <w:tcPr>
            <w:tcW w:w="3373" w:type="dxa"/>
            <w:vAlign w:val="center"/>
          </w:tcPr>
          <w:p>
            <w:pPr>
              <w:pStyle w:val="47"/>
            </w:pPr>
          </w:p>
        </w:tc>
        <w:tc>
          <w:tcPr>
            <w:tcW w:w="728" w:type="dxa"/>
            <w:vAlign w:val="center"/>
          </w:tcPr>
          <w:p>
            <w:pPr>
              <w:pStyle w:val="47"/>
            </w:pPr>
            <w:r>
              <w:t>1</w:t>
            </w:r>
          </w:p>
        </w:tc>
        <w:tc>
          <w:tcPr>
            <w:tcW w:w="2730" w:type="dxa"/>
            <w:vAlign w:val="center"/>
          </w:tcPr>
          <w:p>
            <w:pPr>
              <w:pStyle w:val="47"/>
            </w:pPr>
            <w:r>
              <w:rPr>
                <w:rFonts w:hint="eastAsia"/>
              </w:rPr>
              <w:t>丙烷塔顶冷却器</w:t>
            </w:r>
          </w:p>
        </w:tc>
        <w:tc>
          <w:tcPr>
            <w:tcW w:w="3251" w:type="dxa"/>
            <w:vAlign w:val="center"/>
          </w:tcPr>
          <w:p>
            <w:pPr>
              <w:pStyle w:val="47"/>
            </w:pPr>
            <w:r>
              <w:rPr>
                <w:rFonts w:hint="eastAsia"/>
              </w:rPr>
              <w:t>AES500-6.4-55-6/25-4Ⅰ</w:t>
            </w:r>
          </w:p>
        </w:tc>
        <w:tc>
          <w:tcPr>
            <w:tcW w:w="728"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r>
              <w:t>7</w:t>
            </w:r>
          </w:p>
        </w:tc>
        <w:tc>
          <w:tcPr>
            <w:tcW w:w="2410" w:type="dxa"/>
            <w:vAlign w:val="center"/>
          </w:tcPr>
          <w:p>
            <w:pPr>
              <w:pStyle w:val="47"/>
            </w:pPr>
            <w:r>
              <w:t>脱沥青油加热器</w:t>
            </w:r>
          </w:p>
        </w:tc>
        <w:tc>
          <w:tcPr>
            <w:tcW w:w="3373" w:type="dxa"/>
            <w:vAlign w:val="center"/>
          </w:tcPr>
          <w:p>
            <w:pPr>
              <w:pStyle w:val="47"/>
            </w:pPr>
            <w:r>
              <w:t>Q=1560kw</w:t>
            </w:r>
          </w:p>
        </w:tc>
        <w:tc>
          <w:tcPr>
            <w:tcW w:w="728" w:type="dxa"/>
            <w:vAlign w:val="center"/>
          </w:tcPr>
          <w:p>
            <w:pPr>
              <w:pStyle w:val="47"/>
            </w:pPr>
            <w:r>
              <w:t>1</w:t>
            </w:r>
          </w:p>
        </w:tc>
        <w:tc>
          <w:tcPr>
            <w:tcW w:w="2730" w:type="dxa"/>
            <w:vAlign w:val="center"/>
          </w:tcPr>
          <w:p>
            <w:pPr>
              <w:pStyle w:val="47"/>
            </w:pPr>
            <w:r>
              <w:rPr>
                <w:rFonts w:hint="eastAsia"/>
              </w:rPr>
              <w:t>闪蒸丙烷水冷器</w:t>
            </w:r>
          </w:p>
        </w:tc>
        <w:tc>
          <w:tcPr>
            <w:tcW w:w="3251" w:type="dxa"/>
            <w:vAlign w:val="center"/>
          </w:tcPr>
          <w:p>
            <w:pPr>
              <w:pStyle w:val="47"/>
            </w:pPr>
            <w:r>
              <w:rPr>
                <w:rFonts w:hint="eastAsia"/>
              </w:rPr>
              <w:t>AES500-2.5-55-6/25-4Ⅰ</w:t>
            </w:r>
          </w:p>
        </w:tc>
        <w:tc>
          <w:tcPr>
            <w:tcW w:w="728"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r>
              <w:t>8</w:t>
            </w:r>
          </w:p>
        </w:tc>
        <w:tc>
          <w:tcPr>
            <w:tcW w:w="2410" w:type="dxa"/>
            <w:vAlign w:val="center"/>
          </w:tcPr>
          <w:p>
            <w:pPr>
              <w:pStyle w:val="47"/>
            </w:pPr>
            <w:r>
              <w:t>沥青加热器</w:t>
            </w:r>
          </w:p>
        </w:tc>
        <w:tc>
          <w:tcPr>
            <w:tcW w:w="3373" w:type="dxa"/>
            <w:vAlign w:val="center"/>
          </w:tcPr>
          <w:p>
            <w:pPr>
              <w:pStyle w:val="47"/>
            </w:pPr>
            <w:r>
              <w:t>Q=1130kw</w:t>
            </w:r>
          </w:p>
        </w:tc>
        <w:tc>
          <w:tcPr>
            <w:tcW w:w="728" w:type="dxa"/>
            <w:vAlign w:val="center"/>
          </w:tcPr>
          <w:p>
            <w:pPr>
              <w:pStyle w:val="47"/>
            </w:pPr>
            <w:r>
              <w:t>1</w:t>
            </w:r>
          </w:p>
        </w:tc>
        <w:tc>
          <w:tcPr>
            <w:tcW w:w="2730" w:type="dxa"/>
            <w:vAlign w:val="center"/>
          </w:tcPr>
          <w:p>
            <w:pPr>
              <w:pStyle w:val="47"/>
            </w:pPr>
            <w:r>
              <w:rPr>
                <w:rFonts w:hint="eastAsia"/>
              </w:rPr>
              <w:t xml:space="preserve">汽提水冷器 </w:t>
            </w:r>
          </w:p>
        </w:tc>
        <w:tc>
          <w:tcPr>
            <w:tcW w:w="3251" w:type="dxa"/>
            <w:vAlign w:val="center"/>
          </w:tcPr>
          <w:p>
            <w:pPr>
              <w:pStyle w:val="47"/>
            </w:pPr>
            <w:r>
              <w:rPr>
                <w:rFonts w:hint="eastAsia"/>
              </w:rPr>
              <w:t>AES600-2.5-75-6/25-6Ⅰ</w:t>
            </w:r>
          </w:p>
        </w:tc>
        <w:tc>
          <w:tcPr>
            <w:tcW w:w="728"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p>
        </w:tc>
        <w:tc>
          <w:tcPr>
            <w:tcW w:w="2410" w:type="dxa"/>
            <w:vAlign w:val="center"/>
          </w:tcPr>
          <w:p>
            <w:pPr>
              <w:pStyle w:val="47"/>
            </w:pPr>
          </w:p>
        </w:tc>
        <w:tc>
          <w:tcPr>
            <w:tcW w:w="3373" w:type="dxa"/>
            <w:vAlign w:val="center"/>
          </w:tcPr>
          <w:p>
            <w:pPr>
              <w:pStyle w:val="47"/>
            </w:pPr>
          </w:p>
        </w:tc>
        <w:tc>
          <w:tcPr>
            <w:tcW w:w="728" w:type="dxa"/>
            <w:vAlign w:val="center"/>
          </w:tcPr>
          <w:p>
            <w:pPr>
              <w:pStyle w:val="47"/>
            </w:pPr>
          </w:p>
        </w:tc>
        <w:tc>
          <w:tcPr>
            <w:tcW w:w="2730" w:type="dxa"/>
            <w:vAlign w:val="center"/>
          </w:tcPr>
          <w:p>
            <w:pPr>
              <w:pStyle w:val="47"/>
            </w:pPr>
            <w:r>
              <w:rPr>
                <w:rFonts w:hint="eastAsia"/>
              </w:rPr>
              <w:t>压缩丙烷水冷器</w:t>
            </w:r>
          </w:p>
        </w:tc>
        <w:tc>
          <w:tcPr>
            <w:tcW w:w="3251" w:type="dxa"/>
            <w:vAlign w:val="center"/>
          </w:tcPr>
          <w:p>
            <w:pPr>
              <w:pStyle w:val="47"/>
            </w:pPr>
            <w:r>
              <w:rPr>
                <w:rFonts w:hint="eastAsia"/>
              </w:rPr>
              <w:t>AES600-2.5-75-6/25-6Ⅰ</w:t>
            </w:r>
          </w:p>
        </w:tc>
        <w:tc>
          <w:tcPr>
            <w:tcW w:w="728"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p>
        </w:tc>
        <w:tc>
          <w:tcPr>
            <w:tcW w:w="2410" w:type="dxa"/>
            <w:vAlign w:val="center"/>
          </w:tcPr>
          <w:p>
            <w:pPr>
              <w:pStyle w:val="47"/>
            </w:pPr>
          </w:p>
        </w:tc>
        <w:tc>
          <w:tcPr>
            <w:tcW w:w="3373" w:type="dxa"/>
            <w:vAlign w:val="center"/>
          </w:tcPr>
          <w:p>
            <w:pPr>
              <w:pStyle w:val="47"/>
            </w:pPr>
          </w:p>
        </w:tc>
        <w:tc>
          <w:tcPr>
            <w:tcW w:w="728" w:type="dxa"/>
            <w:vAlign w:val="center"/>
          </w:tcPr>
          <w:p>
            <w:pPr>
              <w:pStyle w:val="47"/>
            </w:pPr>
          </w:p>
        </w:tc>
        <w:tc>
          <w:tcPr>
            <w:tcW w:w="2730" w:type="dxa"/>
            <w:vAlign w:val="center"/>
          </w:tcPr>
          <w:p>
            <w:pPr>
              <w:pStyle w:val="47"/>
            </w:pPr>
            <w:r>
              <w:rPr>
                <w:rFonts w:hint="eastAsia"/>
              </w:rPr>
              <w:t>原料油水冷器</w:t>
            </w:r>
          </w:p>
        </w:tc>
        <w:tc>
          <w:tcPr>
            <w:tcW w:w="3251" w:type="dxa"/>
            <w:vAlign w:val="center"/>
          </w:tcPr>
          <w:p>
            <w:pPr>
              <w:pStyle w:val="47"/>
            </w:pPr>
            <w:r>
              <w:rPr>
                <w:rFonts w:hint="eastAsia"/>
              </w:rPr>
              <w:t>AES600-2.5-75-6/25-6Ⅰ</w:t>
            </w:r>
          </w:p>
        </w:tc>
        <w:tc>
          <w:tcPr>
            <w:tcW w:w="728"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p>
        </w:tc>
        <w:tc>
          <w:tcPr>
            <w:tcW w:w="2410" w:type="dxa"/>
            <w:vAlign w:val="center"/>
          </w:tcPr>
          <w:p>
            <w:pPr>
              <w:pStyle w:val="47"/>
            </w:pPr>
          </w:p>
        </w:tc>
        <w:tc>
          <w:tcPr>
            <w:tcW w:w="3373" w:type="dxa"/>
            <w:vAlign w:val="center"/>
          </w:tcPr>
          <w:p>
            <w:pPr>
              <w:pStyle w:val="47"/>
            </w:pPr>
          </w:p>
        </w:tc>
        <w:tc>
          <w:tcPr>
            <w:tcW w:w="728" w:type="dxa"/>
            <w:vAlign w:val="center"/>
          </w:tcPr>
          <w:p>
            <w:pPr>
              <w:pStyle w:val="47"/>
            </w:pPr>
          </w:p>
        </w:tc>
        <w:tc>
          <w:tcPr>
            <w:tcW w:w="2730" w:type="dxa"/>
            <w:vAlign w:val="center"/>
          </w:tcPr>
          <w:p>
            <w:pPr>
              <w:pStyle w:val="47"/>
            </w:pPr>
            <w:r>
              <w:rPr>
                <w:rFonts w:hint="eastAsia"/>
              </w:rPr>
              <w:t>沥青水冷器</w:t>
            </w:r>
          </w:p>
        </w:tc>
        <w:tc>
          <w:tcPr>
            <w:tcW w:w="3251" w:type="dxa"/>
            <w:vAlign w:val="center"/>
          </w:tcPr>
          <w:p>
            <w:pPr>
              <w:pStyle w:val="47"/>
            </w:pPr>
            <w:r>
              <w:rPr>
                <w:rFonts w:hint="eastAsia"/>
              </w:rPr>
              <w:t>AES400-2.5-15-3/25-4Ⅰ</w:t>
            </w:r>
          </w:p>
        </w:tc>
        <w:tc>
          <w:tcPr>
            <w:tcW w:w="728"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p>
        </w:tc>
        <w:tc>
          <w:tcPr>
            <w:tcW w:w="2410" w:type="dxa"/>
            <w:vAlign w:val="center"/>
          </w:tcPr>
          <w:p>
            <w:pPr>
              <w:pStyle w:val="47"/>
            </w:pPr>
          </w:p>
        </w:tc>
        <w:tc>
          <w:tcPr>
            <w:tcW w:w="3373" w:type="dxa"/>
            <w:vAlign w:val="center"/>
          </w:tcPr>
          <w:p>
            <w:pPr>
              <w:pStyle w:val="47"/>
            </w:pPr>
          </w:p>
        </w:tc>
        <w:tc>
          <w:tcPr>
            <w:tcW w:w="728" w:type="dxa"/>
            <w:vAlign w:val="center"/>
          </w:tcPr>
          <w:p>
            <w:pPr>
              <w:pStyle w:val="47"/>
            </w:pPr>
          </w:p>
        </w:tc>
        <w:tc>
          <w:tcPr>
            <w:tcW w:w="2730" w:type="dxa"/>
            <w:vAlign w:val="center"/>
          </w:tcPr>
          <w:p>
            <w:pPr>
              <w:pStyle w:val="47"/>
            </w:pPr>
            <w:r>
              <w:rPr>
                <w:rFonts w:hint="eastAsia"/>
              </w:rPr>
              <w:t xml:space="preserve">退油水冷器 </w:t>
            </w:r>
          </w:p>
        </w:tc>
        <w:tc>
          <w:tcPr>
            <w:tcW w:w="3251" w:type="dxa"/>
            <w:vAlign w:val="center"/>
          </w:tcPr>
          <w:p>
            <w:pPr>
              <w:pStyle w:val="47"/>
            </w:pPr>
            <w:r>
              <w:rPr>
                <w:rFonts w:hint="eastAsia"/>
              </w:rPr>
              <w:t>AES500-2.5-55-6/25-4Ⅰ</w:t>
            </w:r>
          </w:p>
        </w:tc>
        <w:tc>
          <w:tcPr>
            <w:tcW w:w="728" w:type="dxa"/>
            <w:vAlign w:val="bottom"/>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28" w:type="dxa"/>
            <w:vAlign w:val="center"/>
          </w:tcPr>
          <w:p>
            <w:pPr>
              <w:pStyle w:val="47"/>
            </w:pPr>
          </w:p>
        </w:tc>
        <w:tc>
          <w:tcPr>
            <w:tcW w:w="2410" w:type="dxa"/>
            <w:vAlign w:val="center"/>
          </w:tcPr>
          <w:p>
            <w:pPr>
              <w:pStyle w:val="47"/>
            </w:pPr>
          </w:p>
        </w:tc>
        <w:tc>
          <w:tcPr>
            <w:tcW w:w="3373" w:type="dxa"/>
            <w:vAlign w:val="center"/>
          </w:tcPr>
          <w:p>
            <w:pPr>
              <w:pStyle w:val="47"/>
            </w:pPr>
          </w:p>
        </w:tc>
        <w:tc>
          <w:tcPr>
            <w:tcW w:w="728" w:type="dxa"/>
            <w:vAlign w:val="center"/>
          </w:tcPr>
          <w:p>
            <w:pPr>
              <w:pStyle w:val="47"/>
            </w:pPr>
          </w:p>
        </w:tc>
        <w:tc>
          <w:tcPr>
            <w:tcW w:w="2730" w:type="dxa"/>
            <w:vAlign w:val="center"/>
          </w:tcPr>
          <w:p>
            <w:pPr>
              <w:pStyle w:val="47"/>
            </w:pPr>
            <w:r>
              <w:rPr>
                <w:rFonts w:hint="eastAsia"/>
              </w:rPr>
              <w:t>循环热水-凝结水换热器</w:t>
            </w:r>
          </w:p>
        </w:tc>
        <w:tc>
          <w:tcPr>
            <w:tcW w:w="3251" w:type="dxa"/>
            <w:vAlign w:val="center"/>
          </w:tcPr>
          <w:p>
            <w:pPr>
              <w:pStyle w:val="47"/>
            </w:pPr>
            <w:r>
              <w:rPr>
                <w:rFonts w:hint="eastAsia"/>
              </w:rPr>
              <w:t>BES400-2.5-30-6/25-4I</w:t>
            </w:r>
          </w:p>
        </w:tc>
        <w:tc>
          <w:tcPr>
            <w:tcW w:w="728" w:type="dxa"/>
            <w:vAlign w:val="bottom"/>
          </w:tcPr>
          <w:p>
            <w:pPr>
              <w:pStyle w:val="47"/>
            </w:pPr>
            <w:r>
              <w:rPr>
                <w:rFonts w:hint="eastAsia"/>
              </w:rPr>
              <w:t>1</w:t>
            </w:r>
          </w:p>
        </w:tc>
      </w:tr>
    </w:tbl>
    <w:p>
      <w:pPr>
        <w:spacing w:line="480" w:lineRule="exact"/>
        <w:ind w:firstLine="480" w:firstLineChars="200"/>
        <w:rPr>
          <w:rFonts w:ascii="Times New Roman" w:hAnsi="Times New Roman" w:eastAsia="宋体" w:cs="Times New Roman"/>
          <w:sz w:val="24"/>
          <w:szCs w:val="24"/>
        </w:rPr>
      </w:pPr>
    </w:p>
    <w:p>
      <w:pPr>
        <w:spacing w:line="480" w:lineRule="exact"/>
        <w:ind w:firstLine="480" w:firstLineChars="200"/>
        <w:rPr>
          <w:rFonts w:ascii="Times New Roman" w:hAnsi="Times New Roman" w:eastAsia="宋体" w:cs="Times New Roman"/>
          <w:sz w:val="24"/>
          <w:szCs w:val="24"/>
        </w:rPr>
      </w:pPr>
    </w:p>
    <w:p>
      <w:pPr>
        <w:spacing w:line="480" w:lineRule="exact"/>
        <w:ind w:firstLine="480" w:firstLineChars="200"/>
        <w:rPr>
          <w:rFonts w:ascii="Times New Roman" w:hAnsi="Times New Roman" w:eastAsia="黑体" w:cs="Times New Roman"/>
          <w:sz w:val="24"/>
        </w:rPr>
      </w:pPr>
      <w:r>
        <w:rPr>
          <w:rFonts w:hint="eastAsia" w:ascii="Times New Roman" w:hAnsi="Times New Roman" w:eastAsia="黑体" w:cs="Times New Roman"/>
          <w:sz w:val="24"/>
        </w:rPr>
        <w:t>表3.5-</w:t>
      </w:r>
      <w:r>
        <w:rPr>
          <w:rFonts w:ascii="Times New Roman" w:hAnsi="Times New Roman" w:eastAsia="黑体" w:cs="Times New Roman"/>
          <w:sz w:val="24"/>
        </w:rPr>
        <w:t>3</w:t>
      </w:r>
      <w:r>
        <w:rPr>
          <w:rFonts w:hint="eastAsia" w:ascii="Times New Roman" w:hAnsi="Times New Roman" w:eastAsia="黑体" w:cs="Times New Roman"/>
          <w:sz w:val="24"/>
        </w:rPr>
        <w:t xml:space="preserve">                        项目变更前后溶剂精制单元-分子筛吸附工序设备明细一览表</w:t>
      </w:r>
    </w:p>
    <w:tbl>
      <w:tblPr>
        <w:tblStyle w:val="19"/>
        <w:tblW w:w="1394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675"/>
        <w:gridCol w:w="3233"/>
        <w:gridCol w:w="656"/>
        <w:gridCol w:w="3144"/>
        <w:gridCol w:w="2929"/>
        <w:gridCol w:w="6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655" w:type="dxa"/>
            <w:vMerge w:val="restart"/>
            <w:vAlign w:val="center"/>
          </w:tcPr>
          <w:p>
            <w:pPr>
              <w:pStyle w:val="47"/>
            </w:pPr>
            <w:r>
              <w:t>序号</w:t>
            </w:r>
          </w:p>
        </w:tc>
        <w:tc>
          <w:tcPr>
            <w:tcW w:w="6564" w:type="dxa"/>
            <w:gridSpan w:val="3"/>
            <w:vAlign w:val="center"/>
          </w:tcPr>
          <w:p>
            <w:pPr>
              <w:pStyle w:val="47"/>
            </w:pPr>
            <w:r>
              <w:t>变更前</w:t>
            </w:r>
          </w:p>
        </w:tc>
        <w:tc>
          <w:tcPr>
            <w:tcW w:w="6729" w:type="dxa"/>
            <w:gridSpan w:val="3"/>
            <w:vAlign w:val="center"/>
          </w:tcPr>
          <w:p>
            <w:pPr>
              <w:pStyle w:val="47"/>
            </w:pPr>
            <w:r>
              <w:t>变更后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655" w:type="dxa"/>
            <w:vMerge w:val="continue"/>
            <w:vAlign w:val="center"/>
          </w:tcPr>
          <w:p>
            <w:pPr>
              <w:pStyle w:val="47"/>
            </w:pPr>
          </w:p>
        </w:tc>
        <w:tc>
          <w:tcPr>
            <w:tcW w:w="2675" w:type="dxa"/>
            <w:vAlign w:val="center"/>
          </w:tcPr>
          <w:p>
            <w:pPr>
              <w:pStyle w:val="47"/>
            </w:pPr>
            <w:r>
              <w:t>设备名称</w:t>
            </w:r>
          </w:p>
        </w:tc>
        <w:tc>
          <w:tcPr>
            <w:tcW w:w="3233" w:type="dxa"/>
            <w:vAlign w:val="center"/>
          </w:tcPr>
          <w:p>
            <w:pPr>
              <w:pStyle w:val="47"/>
            </w:pPr>
            <w:r>
              <w:t>规格型号</w:t>
            </w:r>
          </w:p>
        </w:tc>
        <w:tc>
          <w:tcPr>
            <w:tcW w:w="656" w:type="dxa"/>
            <w:vAlign w:val="center"/>
          </w:tcPr>
          <w:p>
            <w:pPr>
              <w:pStyle w:val="47"/>
            </w:pPr>
            <w:r>
              <w:t>台数</w:t>
            </w:r>
          </w:p>
        </w:tc>
        <w:tc>
          <w:tcPr>
            <w:tcW w:w="3144" w:type="dxa"/>
            <w:vAlign w:val="center"/>
          </w:tcPr>
          <w:p>
            <w:pPr>
              <w:pStyle w:val="47"/>
            </w:pPr>
            <w:r>
              <w:t>设备名称</w:t>
            </w:r>
          </w:p>
        </w:tc>
        <w:tc>
          <w:tcPr>
            <w:tcW w:w="2929" w:type="dxa"/>
            <w:vAlign w:val="center"/>
          </w:tcPr>
          <w:p>
            <w:pPr>
              <w:pStyle w:val="47"/>
            </w:pPr>
            <w:r>
              <w:t>规格型号</w:t>
            </w:r>
          </w:p>
        </w:tc>
        <w:tc>
          <w:tcPr>
            <w:tcW w:w="656" w:type="dxa"/>
            <w:vAlign w:val="center"/>
          </w:tcPr>
          <w:p>
            <w:pPr>
              <w:pStyle w:val="47"/>
            </w:pPr>
            <w:r>
              <w:t>台数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一</w:t>
            </w:r>
          </w:p>
        </w:tc>
        <w:tc>
          <w:tcPr>
            <w:tcW w:w="6564" w:type="dxa"/>
            <w:gridSpan w:val="3"/>
            <w:vAlign w:val="center"/>
          </w:tcPr>
          <w:p>
            <w:pPr>
              <w:pStyle w:val="47"/>
            </w:pPr>
            <w:r>
              <w:t>塔类</w:t>
            </w:r>
          </w:p>
        </w:tc>
        <w:tc>
          <w:tcPr>
            <w:tcW w:w="6729" w:type="dxa"/>
            <w:gridSpan w:val="3"/>
            <w:vAlign w:val="center"/>
          </w:tcPr>
          <w:p>
            <w:pPr>
              <w:pStyle w:val="47"/>
            </w:pPr>
            <w:r>
              <w:t>塔类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1</w:t>
            </w:r>
          </w:p>
        </w:tc>
        <w:tc>
          <w:tcPr>
            <w:tcW w:w="2675" w:type="dxa"/>
            <w:vAlign w:val="center"/>
          </w:tcPr>
          <w:p>
            <w:pPr>
              <w:pStyle w:val="47"/>
            </w:pPr>
            <w:r>
              <w:t>蒸发塔</w:t>
            </w:r>
          </w:p>
        </w:tc>
        <w:tc>
          <w:tcPr>
            <w:tcW w:w="3233" w:type="dxa"/>
            <w:vAlign w:val="center"/>
          </w:tcPr>
          <w:p>
            <w:pPr>
              <w:pStyle w:val="47"/>
            </w:pPr>
            <w:r>
              <w:t>φ800/φ1800×20000</w:t>
            </w:r>
          </w:p>
        </w:tc>
        <w:tc>
          <w:tcPr>
            <w:tcW w:w="656" w:type="dxa"/>
            <w:vAlign w:val="center"/>
          </w:tcPr>
          <w:p>
            <w:pPr>
              <w:pStyle w:val="47"/>
            </w:pPr>
            <w:r>
              <w:t>1</w:t>
            </w:r>
          </w:p>
        </w:tc>
        <w:tc>
          <w:tcPr>
            <w:tcW w:w="3144" w:type="dxa"/>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蒸发塔</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DN2000/1000×12/16×29800</w:t>
            </w:r>
          </w:p>
        </w:tc>
        <w:tc>
          <w:tcPr>
            <w:tcW w:w="656" w:type="dxa"/>
            <w:vAlign w:val="center"/>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二</w:t>
            </w:r>
          </w:p>
        </w:tc>
        <w:tc>
          <w:tcPr>
            <w:tcW w:w="6564" w:type="dxa"/>
            <w:gridSpan w:val="3"/>
            <w:vAlign w:val="center"/>
          </w:tcPr>
          <w:p>
            <w:pPr>
              <w:pStyle w:val="47"/>
            </w:pPr>
            <w:r>
              <w:t>容器类</w:t>
            </w:r>
          </w:p>
        </w:tc>
        <w:tc>
          <w:tcPr>
            <w:tcW w:w="6729" w:type="dxa"/>
            <w:gridSpan w:val="3"/>
            <w:vAlign w:val="center"/>
          </w:tcPr>
          <w:p>
            <w:pPr>
              <w:pStyle w:val="47"/>
            </w:pPr>
            <w:r>
              <w:t>容器类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1</w:t>
            </w:r>
          </w:p>
        </w:tc>
        <w:tc>
          <w:tcPr>
            <w:tcW w:w="2675" w:type="dxa"/>
            <w:vAlign w:val="center"/>
          </w:tcPr>
          <w:p>
            <w:pPr>
              <w:pStyle w:val="47"/>
            </w:pPr>
            <w:r>
              <w:t>分子筛加料漏斗</w:t>
            </w:r>
          </w:p>
        </w:tc>
        <w:tc>
          <w:tcPr>
            <w:tcW w:w="3233" w:type="dxa"/>
            <w:vAlign w:val="center"/>
          </w:tcPr>
          <w:p>
            <w:pPr>
              <w:pStyle w:val="47"/>
            </w:pPr>
            <w:r>
              <w:t>φ1000×11229</w:t>
            </w:r>
          </w:p>
        </w:tc>
        <w:tc>
          <w:tcPr>
            <w:tcW w:w="656" w:type="dxa"/>
            <w:vAlign w:val="center"/>
          </w:tcPr>
          <w:p>
            <w:pPr>
              <w:pStyle w:val="47"/>
            </w:pPr>
            <w:r>
              <w:t>1</w:t>
            </w:r>
          </w:p>
        </w:tc>
        <w:tc>
          <w:tcPr>
            <w:tcW w:w="3144" w:type="dxa"/>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原料缓冲罐</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Φ2400*12*7900</w:t>
            </w:r>
          </w:p>
        </w:tc>
        <w:tc>
          <w:tcPr>
            <w:tcW w:w="65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2</w:t>
            </w:r>
          </w:p>
        </w:tc>
        <w:tc>
          <w:tcPr>
            <w:tcW w:w="2675" w:type="dxa"/>
            <w:vAlign w:val="center"/>
          </w:tcPr>
          <w:p>
            <w:pPr>
              <w:pStyle w:val="47"/>
            </w:pPr>
            <w:r>
              <w:t>原料缓冲罐</w:t>
            </w:r>
          </w:p>
        </w:tc>
        <w:tc>
          <w:tcPr>
            <w:tcW w:w="3233" w:type="dxa"/>
            <w:vAlign w:val="center"/>
          </w:tcPr>
          <w:p>
            <w:pPr>
              <w:pStyle w:val="47"/>
            </w:pPr>
            <w:r>
              <w:t>φ1600×9928</w:t>
            </w:r>
          </w:p>
        </w:tc>
        <w:tc>
          <w:tcPr>
            <w:tcW w:w="656" w:type="dxa"/>
            <w:vAlign w:val="center"/>
          </w:tcPr>
          <w:p>
            <w:pPr>
              <w:pStyle w:val="47"/>
            </w:pPr>
            <w:r>
              <w:t>1</w:t>
            </w:r>
          </w:p>
        </w:tc>
        <w:tc>
          <w:tcPr>
            <w:tcW w:w="31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分子筛混合罐</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Φ2400*14*13900</w:t>
            </w:r>
          </w:p>
        </w:tc>
        <w:tc>
          <w:tcPr>
            <w:tcW w:w="65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3</w:t>
            </w:r>
          </w:p>
        </w:tc>
        <w:tc>
          <w:tcPr>
            <w:tcW w:w="2675" w:type="dxa"/>
            <w:vAlign w:val="center"/>
          </w:tcPr>
          <w:p>
            <w:pPr>
              <w:pStyle w:val="47"/>
            </w:pPr>
            <w:r>
              <w:t>分子筛压送罐</w:t>
            </w:r>
          </w:p>
        </w:tc>
        <w:tc>
          <w:tcPr>
            <w:tcW w:w="3233" w:type="dxa"/>
            <w:vAlign w:val="center"/>
          </w:tcPr>
          <w:p>
            <w:pPr>
              <w:pStyle w:val="47"/>
            </w:pPr>
            <w:r>
              <w:t>φ1600×6509</w:t>
            </w:r>
          </w:p>
        </w:tc>
        <w:tc>
          <w:tcPr>
            <w:tcW w:w="656" w:type="dxa"/>
            <w:vAlign w:val="center"/>
          </w:tcPr>
          <w:p>
            <w:pPr>
              <w:pStyle w:val="47"/>
            </w:pPr>
            <w:r>
              <w:t>2</w:t>
            </w:r>
          </w:p>
        </w:tc>
        <w:tc>
          <w:tcPr>
            <w:tcW w:w="31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蒸发塔顶罐</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Φ1400*10*3770</w:t>
            </w:r>
          </w:p>
        </w:tc>
        <w:tc>
          <w:tcPr>
            <w:tcW w:w="65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4</w:t>
            </w:r>
          </w:p>
        </w:tc>
        <w:tc>
          <w:tcPr>
            <w:tcW w:w="2675" w:type="dxa"/>
            <w:vAlign w:val="center"/>
          </w:tcPr>
          <w:p>
            <w:pPr>
              <w:pStyle w:val="47"/>
            </w:pPr>
            <w:r>
              <w:t>分子筛料斗</w:t>
            </w:r>
          </w:p>
        </w:tc>
        <w:tc>
          <w:tcPr>
            <w:tcW w:w="3233" w:type="dxa"/>
            <w:vAlign w:val="center"/>
          </w:tcPr>
          <w:p>
            <w:pPr>
              <w:pStyle w:val="47"/>
            </w:pPr>
            <w:r>
              <w:t>φ2000×7732</w:t>
            </w:r>
          </w:p>
        </w:tc>
        <w:tc>
          <w:tcPr>
            <w:tcW w:w="656" w:type="dxa"/>
            <w:vAlign w:val="center"/>
          </w:tcPr>
          <w:p>
            <w:pPr>
              <w:pStyle w:val="47"/>
            </w:pPr>
            <w:r>
              <w:t>2</w:t>
            </w:r>
          </w:p>
        </w:tc>
        <w:tc>
          <w:tcPr>
            <w:tcW w:w="31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压滤机出口缓冲罐</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Φ2400*12*7900</w:t>
            </w:r>
          </w:p>
        </w:tc>
        <w:tc>
          <w:tcPr>
            <w:tcW w:w="65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5</w:t>
            </w:r>
          </w:p>
        </w:tc>
        <w:tc>
          <w:tcPr>
            <w:tcW w:w="2675" w:type="dxa"/>
            <w:vAlign w:val="center"/>
          </w:tcPr>
          <w:p>
            <w:pPr>
              <w:pStyle w:val="47"/>
            </w:pPr>
            <w:r>
              <w:t>分子筛混合罐</w:t>
            </w:r>
          </w:p>
        </w:tc>
        <w:tc>
          <w:tcPr>
            <w:tcW w:w="3233" w:type="dxa"/>
            <w:vAlign w:val="center"/>
          </w:tcPr>
          <w:p>
            <w:pPr>
              <w:pStyle w:val="47"/>
            </w:pPr>
            <w:r>
              <w:t>φ2000×6510</w:t>
            </w:r>
          </w:p>
        </w:tc>
        <w:tc>
          <w:tcPr>
            <w:tcW w:w="656" w:type="dxa"/>
            <w:vAlign w:val="center"/>
          </w:tcPr>
          <w:p>
            <w:pPr>
              <w:pStyle w:val="47"/>
            </w:pPr>
            <w:r>
              <w:t>2</w:t>
            </w:r>
          </w:p>
        </w:tc>
        <w:tc>
          <w:tcPr>
            <w:tcW w:w="31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脱氮剂罐</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Φ1200*10/12*5750</w:t>
            </w:r>
          </w:p>
        </w:tc>
        <w:tc>
          <w:tcPr>
            <w:tcW w:w="65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6</w:t>
            </w:r>
          </w:p>
        </w:tc>
        <w:tc>
          <w:tcPr>
            <w:tcW w:w="2675" w:type="dxa"/>
            <w:vAlign w:val="center"/>
          </w:tcPr>
          <w:p>
            <w:pPr>
              <w:pStyle w:val="47"/>
            </w:pPr>
            <w:r>
              <w:t>真空罐</w:t>
            </w:r>
          </w:p>
        </w:tc>
        <w:tc>
          <w:tcPr>
            <w:tcW w:w="3233" w:type="dxa"/>
            <w:vAlign w:val="center"/>
          </w:tcPr>
          <w:p>
            <w:pPr>
              <w:pStyle w:val="47"/>
            </w:pPr>
            <w:r>
              <w:t>φ1600×2800</w:t>
            </w:r>
          </w:p>
        </w:tc>
        <w:tc>
          <w:tcPr>
            <w:tcW w:w="656" w:type="dxa"/>
            <w:vAlign w:val="center"/>
          </w:tcPr>
          <w:p>
            <w:pPr>
              <w:pStyle w:val="47"/>
            </w:pPr>
            <w:r>
              <w:t>1</w:t>
            </w:r>
          </w:p>
        </w:tc>
        <w:tc>
          <w:tcPr>
            <w:tcW w:w="31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脱氮尾渣罐</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Φ800*10*2970</w:t>
            </w:r>
          </w:p>
        </w:tc>
        <w:tc>
          <w:tcPr>
            <w:tcW w:w="65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7</w:t>
            </w:r>
          </w:p>
        </w:tc>
        <w:tc>
          <w:tcPr>
            <w:tcW w:w="2675" w:type="dxa"/>
            <w:vAlign w:val="center"/>
          </w:tcPr>
          <w:p>
            <w:pPr>
              <w:pStyle w:val="47"/>
            </w:pPr>
            <w:r>
              <w:t>成品罐</w:t>
            </w:r>
          </w:p>
        </w:tc>
        <w:tc>
          <w:tcPr>
            <w:tcW w:w="3233" w:type="dxa"/>
            <w:vAlign w:val="center"/>
          </w:tcPr>
          <w:p>
            <w:pPr>
              <w:pStyle w:val="47"/>
            </w:pPr>
            <w:r>
              <w:t>φ1600×4000</w:t>
            </w:r>
          </w:p>
        </w:tc>
        <w:tc>
          <w:tcPr>
            <w:tcW w:w="656" w:type="dxa"/>
            <w:vAlign w:val="center"/>
          </w:tcPr>
          <w:p>
            <w:pPr>
              <w:pStyle w:val="47"/>
            </w:pPr>
            <w:r>
              <w:t>1</w:t>
            </w:r>
          </w:p>
        </w:tc>
        <w:tc>
          <w:tcPr>
            <w:tcW w:w="31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蒸汽分水罐</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Φ700*10*1950</w:t>
            </w:r>
          </w:p>
        </w:tc>
        <w:tc>
          <w:tcPr>
            <w:tcW w:w="65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8</w:t>
            </w:r>
          </w:p>
        </w:tc>
        <w:tc>
          <w:tcPr>
            <w:tcW w:w="2675" w:type="dxa"/>
            <w:vAlign w:val="center"/>
          </w:tcPr>
          <w:p>
            <w:pPr>
              <w:pStyle w:val="47"/>
            </w:pPr>
            <w:r>
              <w:t>扳机进料罐</w:t>
            </w:r>
          </w:p>
        </w:tc>
        <w:tc>
          <w:tcPr>
            <w:tcW w:w="3233" w:type="dxa"/>
            <w:vAlign w:val="center"/>
          </w:tcPr>
          <w:p>
            <w:pPr>
              <w:pStyle w:val="47"/>
            </w:pPr>
            <w:r>
              <w:t>φ1600×4000</w:t>
            </w:r>
          </w:p>
        </w:tc>
        <w:tc>
          <w:tcPr>
            <w:tcW w:w="656" w:type="dxa"/>
            <w:vAlign w:val="center"/>
          </w:tcPr>
          <w:p>
            <w:pPr>
              <w:pStyle w:val="47"/>
            </w:pPr>
            <w:r>
              <w:t>1</w:t>
            </w:r>
          </w:p>
        </w:tc>
        <w:tc>
          <w:tcPr>
            <w:tcW w:w="31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净化风罐</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Φ1200*10/12*5950</w:t>
            </w:r>
          </w:p>
        </w:tc>
        <w:tc>
          <w:tcPr>
            <w:tcW w:w="65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9</w:t>
            </w:r>
          </w:p>
        </w:tc>
        <w:tc>
          <w:tcPr>
            <w:tcW w:w="2675" w:type="dxa"/>
            <w:vAlign w:val="center"/>
          </w:tcPr>
          <w:p>
            <w:pPr>
              <w:pStyle w:val="47"/>
            </w:pPr>
            <w:r>
              <w:t>馏分油分水罐</w:t>
            </w:r>
          </w:p>
        </w:tc>
        <w:tc>
          <w:tcPr>
            <w:tcW w:w="3233" w:type="dxa"/>
            <w:vAlign w:val="center"/>
          </w:tcPr>
          <w:p>
            <w:pPr>
              <w:pStyle w:val="47"/>
            </w:pPr>
            <w:r>
              <w:t>φ1600×3500</w:t>
            </w:r>
          </w:p>
        </w:tc>
        <w:tc>
          <w:tcPr>
            <w:tcW w:w="656" w:type="dxa"/>
            <w:vAlign w:val="center"/>
          </w:tcPr>
          <w:p>
            <w:pPr>
              <w:pStyle w:val="47"/>
            </w:pPr>
            <w:r>
              <w:t>1</w:t>
            </w:r>
          </w:p>
        </w:tc>
        <w:tc>
          <w:tcPr>
            <w:tcW w:w="3144" w:type="dxa"/>
            <w:vAlign w:val="center"/>
          </w:tcPr>
          <w:p>
            <w:pPr>
              <w:pStyle w:val="47"/>
            </w:pPr>
          </w:p>
        </w:tc>
        <w:tc>
          <w:tcPr>
            <w:tcW w:w="2929" w:type="dxa"/>
            <w:vAlign w:val="center"/>
          </w:tcPr>
          <w:p>
            <w:pPr>
              <w:pStyle w:val="47"/>
            </w:pPr>
          </w:p>
        </w:tc>
        <w:tc>
          <w:tcPr>
            <w:tcW w:w="656" w:type="dxa"/>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10</w:t>
            </w:r>
          </w:p>
        </w:tc>
        <w:tc>
          <w:tcPr>
            <w:tcW w:w="2675" w:type="dxa"/>
            <w:vAlign w:val="center"/>
          </w:tcPr>
          <w:p>
            <w:pPr>
              <w:pStyle w:val="47"/>
            </w:pPr>
            <w:r>
              <w:t>扫线罐</w:t>
            </w:r>
          </w:p>
        </w:tc>
        <w:tc>
          <w:tcPr>
            <w:tcW w:w="3233" w:type="dxa"/>
            <w:vAlign w:val="center"/>
          </w:tcPr>
          <w:p>
            <w:pPr>
              <w:pStyle w:val="47"/>
            </w:pPr>
            <w:r>
              <w:t>φ1800×4000</w:t>
            </w:r>
          </w:p>
        </w:tc>
        <w:tc>
          <w:tcPr>
            <w:tcW w:w="656" w:type="dxa"/>
            <w:vAlign w:val="center"/>
          </w:tcPr>
          <w:p>
            <w:pPr>
              <w:pStyle w:val="47"/>
            </w:pPr>
            <w:r>
              <w:t>1</w:t>
            </w:r>
          </w:p>
        </w:tc>
        <w:tc>
          <w:tcPr>
            <w:tcW w:w="3144" w:type="dxa"/>
            <w:vAlign w:val="center"/>
          </w:tcPr>
          <w:p>
            <w:pPr>
              <w:pStyle w:val="47"/>
            </w:pPr>
          </w:p>
        </w:tc>
        <w:tc>
          <w:tcPr>
            <w:tcW w:w="2929" w:type="dxa"/>
            <w:vAlign w:val="center"/>
          </w:tcPr>
          <w:p>
            <w:pPr>
              <w:pStyle w:val="47"/>
            </w:pPr>
          </w:p>
        </w:tc>
        <w:tc>
          <w:tcPr>
            <w:tcW w:w="656" w:type="dxa"/>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11</w:t>
            </w:r>
          </w:p>
        </w:tc>
        <w:tc>
          <w:tcPr>
            <w:tcW w:w="2675" w:type="dxa"/>
            <w:vAlign w:val="center"/>
          </w:tcPr>
          <w:p>
            <w:pPr>
              <w:pStyle w:val="47"/>
            </w:pPr>
            <w:r>
              <w:t>抽真空循环水罐</w:t>
            </w:r>
          </w:p>
        </w:tc>
        <w:tc>
          <w:tcPr>
            <w:tcW w:w="3233" w:type="dxa"/>
            <w:vAlign w:val="center"/>
          </w:tcPr>
          <w:p>
            <w:pPr>
              <w:pStyle w:val="47"/>
            </w:pPr>
            <w:r>
              <w:t>φ1400×6533</w:t>
            </w:r>
          </w:p>
        </w:tc>
        <w:tc>
          <w:tcPr>
            <w:tcW w:w="656" w:type="dxa"/>
            <w:vAlign w:val="center"/>
          </w:tcPr>
          <w:p>
            <w:pPr>
              <w:pStyle w:val="47"/>
            </w:pPr>
            <w:r>
              <w:t>1</w:t>
            </w:r>
          </w:p>
        </w:tc>
        <w:tc>
          <w:tcPr>
            <w:tcW w:w="3144" w:type="dxa"/>
            <w:vAlign w:val="center"/>
          </w:tcPr>
          <w:p>
            <w:pPr>
              <w:pStyle w:val="47"/>
            </w:pPr>
          </w:p>
        </w:tc>
        <w:tc>
          <w:tcPr>
            <w:tcW w:w="2929" w:type="dxa"/>
            <w:vAlign w:val="center"/>
          </w:tcPr>
          <w:p>
            <w:pPr>
              <w:pStyle w:val="47"/>
            </w:pPr>
          </w:p>
        </w:tc>
        <w:tc>
          <w:tcPr>
            <w:tcW w:w="656" w:type="dxa"/>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12</w:t>
            </w:r>
          </w:p>
        </w:tc>
        <w:tc>
          <w:tcPr>
            <w:tcW w:w="2675" w:type="dxa"/>
            <w:vAlign w:val="center"/>
          </w:tcPr>
          <w:p>
            <w:pPr>
              <w:pStyle w:val="47"/>
            </w:pPr>
            <w:r>
              <w:t>水封罐</w:t>
            </w:r>
          </w:p>
        </w:tc>
        <w:tc>
          <w:tcPr>
            <w:tcW w:w="3233" w:type="dxa"/>
            <w:vAlign w:val="center"/>
          </w:tcPr>
          <w:p>
            <w:pPr>
              <w:pStyle w:val="47"/>
            </w:pPr>
            <w:r>
              <w:t>φ1400×2000</w:t>
            </w:r>
          </w:p>
        </w:tc>
        <w:tc>
          <w:tcPr>
            <w:tcW w:w="656" w:type="dxa"/>
            <w:vAlign w:val="center"/>
          </w:tcPr>
          <w:p>
            <w:pPr>
              <w:pStyle w:val="47"/>
            </w:pPr>
            <w:r>
              <w:t>1</w:t>
            </w:r>
          </w:p>
        </w:tc>
        <w:tc>
          <w:tcPr>
            <w:tcW w:w="3144" w:type="dxa"/>
            <w:vAlign w:val="center"/>
          </w:tcPr>
          <w:p>
            <w:pPr>
              <w:pStyle w:val="47"/>
            </w:pPr>
          </w:p>
        </w:tc>
        <w:tc>
          <w:tcPr>
            <w:tcW w:w="2929" w:type="dxa"/>
            <w:vAlign w:val="center"/>
          </w:tcPr>
          <w:p>
            <w:pPr>
              <w:pStyle w:val="47"/>
            </w:pPr>
          </w:p>
        </w:tc>
        <w:tc>
          <w:tcPr>
            <w:tcW w:w="656" w:type="dxa"/>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三</w:t>
            </w:r>
          </w:p>
        </w:tc>
        <w:tc>
          <w:tcPr>
            <w:tcW w:w="6564" w:type="dxa"/>
            <w:gridSpan w:val="3"/>
            <w:vAlign w:val="center"/>
          </w:tcPr>
          <w:p>
            <w:pPr>
              <w:pStyle w:val="47"/>
            </w:pPr>
            <w:r>
              <w:t>机泵类</w:t>
            </w:r>
          </w:p>
        </w:tc>
        <w:tc>
          <w:tcPr>
            <w:tcW w:w="6729" w:type="dxa"/>
            <w:gridSpan w:val="3"/>
            <w:vAlign w:val="center"/>
          </w:tcPr>
          <w:p>
            <w:pPr>
              <w:pStyle w:val="47"/>
            </w:pPr>
            <w:r>
              <w:t>机泵类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1</w:t>
            </w:r>
          </w:p>
        </w:tc>
        <w:tc>
          <w:tcPr>
            <w:tcW w:w="2675" w:type="dxa"/>
            <w:vAlign w:val="center"/>
          </w:tcPr>
          <w:p>
            <w:pPr>
              <w:pStyle w:val="47"/>
            </w:pPr>
            <w:r>
              <w:t>原料油泵</w:t>
            </w:r>
          </w:p>
        </w:tc>
        <w:tc>
          <w:tcPr>
            <w:tcW w:w="3233" w:type="dxa"/>
            <w:vAlign w:val="center"/>
          </w:tcPr>
          <w:p>
            <w:pPr>
              <w:pStyle w:val="47"/>
            </w:pPr>
            <w:r>
              <w:t>50AYII60</w:t>
            </w:r>
          </w:p>
        </w:tc>
        <w:tc>
          <w:tcPr>
            <w:tcW w:w="656" w:type="dxa"/>
            <w:vAlign w:val="center"/>
          </w:tcPr>
          <w:p>
            <w:pPr>
              <w:pStyle w:val="47"/>
            </w:pPr>
            <w:r>
              <w:t>2</w:t>
            </w:r>
          </w:p>
        </w:tc>
        <w:tc>
          <w:tcPr>
            <w:tcW w:w="3144" w:type="dxa"/>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混合罐底泵</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LZA40-250</w:t>
            </w:r>
          </w:p>
        </w:tc>
        <w:tc>
          <w:tcPr>
            <w:tcW w:w="65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2</w:t>
            </w:r>
          </w:p>
        </w:tc>
        <w:tc>
          <w:tcPr>
            <w:tcW w:w="2675" w:type="dxa"/>
            <w:vAlign w:val="center"/>
          </w:tcPr>
          <w:p>
            <w:pPr>
              <w:pStyle w:val="47"/>
            </w:pPr>
            <w:r>
              <w:t>混合罐底泵</w:t>
            </w:r>
          </w:p>
        </w:tc>
        <w:tc>
          <w:tcPr>
            <w:tcW w:w="3233" w:type="dxa"/>
            <w:vAlign w:val="center"/>
          </w:tcPr>
          <w:p>
            <w:pPr>
              <w:pStyle w:val="47"/>
            </w:pPr>
            <w:r>
              <w:t>80AYIIBP60A</w:t>
            </w:r>
          </w:p>
        </w:tc>
        <w:tc>
          <w:tcPr>
            <w:tcW w:w="656" w:type="dxa"/>
            <w:vAlign w:val="center"/>
          </w:tcPr>
          <w:p>
            <w:pPr>
              <w:pStyle w:val="47"/>
            </w:pPr>
            <w:r>
              <w:t>2</w:t>
            </w:r>
          </w:p>
        </w:tc>
        <w:tc>
          <w:tcPr>
            <w:tcW w:w="31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蒸发塔底油泵</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LZE40-250</w:t>
            </w:r>
          </w:p>
        </w:tc>
        <w:tc>
          <w:tcPr>
            <w:tcW w:w="65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3</w:t>
            </w:r>
          </w:p>
        </w:tc>
        <w:tc>
          <w:tcPr>
            <w:tcW w:w="2675" w:type="dxa"/>
            <w:vAlign w:val="center"/>
          </w:tcPr>
          <w:p>
            <w:pPr>
              <w:pStyle w:val="47"/>
            </w:pPr>
            <w:r>
              <w:t>蒸发塔底泵</w:t>
            </w:r>
          </w:p>
        </w:tc>
        <w:tc>
          <w:tcPr>
            <w:tcW w:w="3233" w:type="dxa"/>
            <w:vAlign w:val="center"/>
          </w:tcPr>
          <w:p>
            <w:pPr>
              <w:pStyle w:val="47"/>
            </w:pPr>
            <w:r>
              <w:t>65AYIIBP100</w:t>
            </w:r>
          </w:p>
        </w:tc>
        <w:tc>
          <w:tcPr>
            <w:tcW w:w="656" w:type="dxa"/>
            <w:vAlign w:val="center"/>
          </w:tcPr>
          <w:p>
            <w:pPr>
              <w:pStyle w:val="47"/>
            </w:pPr>
            <w:r>
              <w:t>2</w:t>
            </w:r>
          </w:p>
        </w:tc>
        <w:tc>
          <w:tcPr>
            <w:tcW w:w="31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成品油泵</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LZA40-250</w:t>
            </w:r>
          </w:p>
        </w:tc>
        <w:tc>
          <w:tcPr>
            <w:tcW w:w="65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4</w:t>
            </w:r>
          </w:p>
        </w:tc>
        <w:tc>
          <w:tcPr>
            <w:tcW w:w="2675" w:type="dxa"/>
            <w:vAlign w:val="center"/>
          </w:tcPr>
          <w:p>
            <w:pPr>
              <w:pStyle w:val="47"/>
            </w:pPr>
            <w:r>
              <w:t>成品油泵</w:t>
            </w:r>
          </w:p>
        </w:tc>
        <w:tc>
          <w:tcPr>
            <w:tcW w:w="3233" w:type="dxa"/>
            <w:vAlign w:val="center"/>
          </w:tcPr>
          <w:p>
            <w:pPr>
              <w:pStyle w:val="47"/>
            </w:pPr>
            <w:r>
              <w:t>50AYII60</w:t>
            </w:r>
          </w:p>
        </w:tc>
        <w:tc>
          <w:tcPr>
            <w:tcW w:w="656" w:type="dxa"/>
            <w:vAlign w:val="center"/>
          </w:tcPr>
          <w:p>
            <w:pPr>
              <w:pStyle w:val="47"/>
            </w:pPr>
            <w:r>
              <w:t>2</w:t>
            </w:r>
          </w:p>
        </w:tc>
        <w:tc>
          <w:tcPr>
            <w:tcW w:w="31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蒸发塔顶冷凝水泵</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LX20-15-160</w:t>
            </w:r>
          </w:p>
        </w:tc>
        <w:tc>
          <w:tcPr>
            <w:tcW w:w="65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5</w:t>
            </w:r>
          </w:p>
        </w:tc>
        <w:tc>
          <w:tcPr>
            <w:tcW w:w="2675" w:type="dxa"/>
            <w:vAlign w:val="center"/>
          </w:tcPr>
          <w:p>
            <w:pPr>
              <w:pStyle w:val="47"/>
            </w:pPr>
            <w:r>
              <w:t>真空喷射器</w:t>
            </w:r>
          </w:p>
        </w:tc>
        <w:tc>
          <w:tcPr>
            <w:tcW w:w="3233" w:type="dxa"/>
            <w:vAlign w:val="center"/>
          </w:tcPr>
          <w:p>
            <w:pPr>
              <w:pStyle w:val="47"/>
            </w:pPr>
            <w:r>
              <w:t>SZ-3</w:t>
            </w:r>
          </w:p>
        </w:tc>
        <w:tc>
          <w:tcPr>
            <w:tcW w:w="656" w:type="dxa"/>
            <w:vAlign w:val="center"/>
          </w:tcPr>
          <w:p>
            <w:pPr>
              <w:pStyle w:val="47"/>
            </w:pPr>
            <w:r>
              <w:t>2</w:t>
            </w:r>
          </w:p>
        </w:tc>
        <w:tc>
          <w:tcPr>
            <w:tcW w:w="31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馏出油泵</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LX25-15-250</w:t>
            </w:r>
          </w:p>
        </w:tc>
        <w:tc>
          <w:tcPr>
            <w:tcW w:w="65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6</w:t>
            </w:r>
          </w:p>
        </w:tc>
        <w:tc>
          <w:tcPr>
            <w:tcW w:w="2675" w:type="dxa"/>
            <w:vAlign w:val="center"/>
          </w:tcPr>
          <w:p>
            <w:pPr>
              <w:pStyle w:val="47"/>
            </w:pPr>
            <w:r>
              <w:t>抽真空循环水泵</w:t>
            </w:r>
          </w:p>
        </w:tc>
        <w:tc>
          <w:tcPr>
            <w:tcW w:w="3233" w:type="dxa"/>
            <w:vAlign w:val="center"/>
          </w:tcPr>
          <w:p>
            <w:pPr>
              <w:pStyle w:val="47"/>
            </w:pPr>
            <w:r>
              <w:t>2BE1 103-0BD4B</w:t>
            </w:r>
          </w:p>
        </w:tc>
        <w:tc>
          <w:tcPr>
            <w:tcW w:w="656" w:type="dxa"/>
            <w:vAlign w:val="center"/>
          </w:tcPr>
          <w:p>
            <w:pPr>
              <w:pStyle w:val="47"/>
            </w:pPr>
            <w:r>
              <w:t>2</w:t>
            </w:r>
          </w:p>
        </w:tc>
        <w:tc>
          <w:tcPr>
            <w:tcW w:w="31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脱氮尾渣泵</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J2-TPM400/1</w:t>
            </w:r>
          </w:p>
        </w:tc>
        <w:tc>
          <w:tcPr>
            <w:tcW w:w="65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7</w:t>
            </w:r>
          </w:p>
        </w:tc>
        <w:tc>
          <w:tcPr>
            <w:tcW w:w="2675" w:type="dxa"/>
            <w:vAlign w:val="center"/>
          </w:tcPr>
          <w:p>
            <w:pPr>
              <w:pStyle w:val="47"/>
            </w:pPr>
            <w:r>
              <w:t>馏出油泵</w:t>
            </w:r>
          </w:p>
        </w:tc>
        <w:tc>
          <w:tcPr>
            <w:tcW w:w="3233" w:type="dxa"/>
            <w:vAlign w:val="center"/>
          </w:tcPr>
          <w:p>
            <w:pPr>
              <w:pStyle w:val="47"/>
            </w:pPr>
            <w:r>
              <w:t>3GR25x4-W21</w:t>
            </w:r>
          </w:p>
        </w:tc>
        <w:tc>
          <w:tcPr>
            <w:tcW w:w="656" w:type="dxa"/>
            <w:vAlign w:val="center"/>
          </w:tcPr>
          <w:p>
            <w:pPr>
              <w:pStyle w:val="47"/>
            </w:pPr>
            <w:r>
              <w:t>2</w:t>
            </w:r>
          </w:p>
        </w:tc>
        <w:tc>
          <w:tcPr>
            <w:tcW w:w="31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脱氮剂计量泵</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J2-M200/1</w:t>
            </w:r>
          </w:p>
        </w:tc>
        <w:tc>
          <w:tcPr>
            <w:tcW w:w="65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p>
        </w:tc>
        <w:tc>
          <w:tcPr>
            <w:tcW w:w="2675" w:type="dxa"/>
            <w:vAlign w:val="center"/>
          </w:tcPr>
          <w:p>
            <w:pPr>
              <w:pStyle w:val="47"/>
            </w:pPr>
          </w:p>
        </w:tc>
        <w:tc>
          <w:tcPr>
            <w:tcW w:w="3233" w:type="dxa"/>
            <w:vAlign w:val="center"/>
          </w:tcPr>
          <w:p>
            <w:pPr>
              <w:pStyle w:val="47"/>
            </w:pPr>
          </w:p>
        </w:tc>
        <w:tc>
          <w:tcPr>
            <w:tcW w:w="656" w:type="dxa"/>
            <w:vAlign w:val="center"/>
          </w:tcPr>
          <w:p>
            <w:pPr>
              <w:pStyle w:val="47"/>
            </w:pPr>
          </w:p>
        </w:tc>
        <w:tc>
          <w:tcPr>
            <w:tcW w:w="31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脱氮基础油泵</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LZA40-200</w:t>
            </w:r>
          </w:p>
        </w:tc>
        <w:tc>
          <w:tcPr>
            <w:tcW w:w="65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四</w:t>
            </w:r>
          </w:p>
        </w:tc>
        <w:tc>
          <w:tcPr>
            <w:tcW w:w="6564" w:type="dxa"/>
            <w:gridSpan w:val="3"/>
            <w:vAlign w:val="center"/>
          </w:tcPr>
          <w:p>
            <w:pPr>
              <w:pStyle w:val="47"/>
            </w:pPr>
            <w:r>
              <w:t>冷换设备类</w:t>
            </w:r>
          </w:p>
        </w:tc>
        <w:tc>
          <w:tcPr>
            <w:tcW w:w="6729" w:type="dxa"/>
            <w:gridSpan w:val="3"/>
            <w:vAlign w:val="center"/>
          </w:tcPr>
          <w:p>
            <w:pPr>
              <w:pStyle w:val="47"/>
            </w:pPr>
            <w:r>
              <w:t>冷换设备类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1</w:t>
            </w:r>
          </w:p>
        </w:tc>
        <w:tc>
          <w:tcPr>
            <w:tcW w:w="2675" w:type="dxa"/>
            <w:vAlign w:val="center"/>
          </w:tcPr>
          <w:p>
            <w:pPr>
              <w:pStyle w:val="47"/>
            </w:pPr>
            <w:r>
              <w:t>精制油进料换热器</w:t>
            </w:r>
          </w:p>
        </w:tc>
        <w:tc>
          <w:tcPr>
            <w:tcW w:w="3233" w:type="dxa"/>
            <w:vAlign w:val="center"/>
          </w:tcPr>
          <w:p>
            <w:pPr>
              <w:pStyle w:val="47"/>
            </w:pPr>
            <w:r>
              <w:t>AES400-2.5-25-4.5/25-4</w:t>
            </w:r>
            <w:r>
              <w:rPr>
                <w:rFonts w:hint="eastAsia" w:ascii="宋体" w:hAnsi="宋体" w:cs="宋体"/>
              </w:rPr>
              <w:t>Ⅰ</w:t>
            </w:r>
          </w:p>
        </w:tc>
        <w:tc>
          <w:tcPr>
            <w:tcW w:w="656" w:type="dxa"/>
            <w:vAlign w:val="center"/>
          </w:tcPr>
          <w:p>
            <w:pPr>
              <w:pStyle w:val="47"/>
            </w:pPr>
            <w:r>
              <w:t>1</w:t>
            </w:r>
          </w:p>
        </w:tc>
        <w:tc>
          <w:tcPr>
            <w:tcW w:w="3144" w:type="dxa"/>
            <w:vAlign w:val="center"/>
          </w:tcPr>
          <w:p>
            <w:pPr>
              <w:widowControl/>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基础油原料-成品油换热器</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BES1200-2.5-380-6/25-6</w:t>
            </w:r>
            <w:r>
              <w:rPr>
                <w:rFonts w:hint="eastAsia" w:ascii="宋体" w:hAnsi="宋体" w:eastAsia="宋体" w:cs="宋体"/>
                <w:szCs w:val="21"/>
              </w:rPr>
              <w:t>Ⅰ</w:t>
            </w:r>
          </w:p>
        </w:tc>
        <w:tc>
          <w:tcPr>
            <w:tcW w:w="65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2</w:t>
            </w:r>
          </w:p>
        </w:tc>
        <w:tc>
          <w:tcPr>
            <w:tcW w:w="2675" w:type="dxa"/>
            <w:vAlign w:val="center"/>
          </w:tcPr>
          <w:p>
            <w:pPr>
              <w:pStyle w:val="47"/>
            </w:pPr>
            <w:r>
              <w:t>蒸发塔进料换热器</w:t>
            </w:r>
          </w:p>
        </w:tc>
        <w:tc>
          <w:tcPr>
            <w:tcW w:w="3233" w:type="dxa"/>
            <w:vAlign w:val="center"/>
          </w:tcPr>
          <w:p>
            <w:pPr>
              <w:pStyle w:val="47"/>
            </w:pPr>
            <w:r>
              <w:t>套管φ51×3/φ89×5-2.5-20-10×12</w:t>
            </w:r>
          </w:p>
        </w:tc>
        <w:tc>
          <w:tcPr>
            <w:tcW w:w="656" w:type="dxa"/>
            <w:vAlign w:val="center"/>
          </w:tcPr>
          <w:p>
            <w:pPr>
              <w:pStyle w:val="47"/>
            </w:pPr>
            <w:r>
              <w:t>3</w:t>
            </w:r>
          </w:p>
        </w:tc>
        <w:tc>
          <w:tcPr>
            <w:tcW w:w="31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基础油原料-蒸发塔底油换热器</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BES1200-2.5-380-6/25-6</w:t>
            </w:r>
            <w:r>
              <w:rPr>
                <w:rFonts w:hint="eastAsia" w:ascii="宋体" w:hAnsi="宋体" w:eastAsia="宋体" w:cs="宋体"/>
                <w:szCs w:val="21"/>
              </w:rPr>
              <w:t>Ⅰ</w:t>
            </w:r>
          </w:p>
        </w:tc>
        <w:tc>
          <w:tcPr>
            <w:tcW w:w="65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3</w:t>
            </w:r>
          </w:p>
        </w:tc>
        <w:tc>
          <w:tcPr>
            <w:tcW w:w="2675" w:type="dxa"/>
            <w:vAlign w:val="center"/>
          </w:tcPr>
          <w:p>
            <w:pPr>
              <w:pStyle w:val="47"/>
            </w:pPr>
            <w:r>
              <w:t>蒸发塔顶冷却器</w:t>
            </w:r>
          </w:p>
        </w:tc>
        <w:tc>
          <w:tcPr>
            <w:tcW w:w="3233" w:type="dxa"/>
            <w:vAlign w:val="center"/>
          </w:tcPr>
          <w:p>
            <w:pPr>
              <w:pStyle w:val="47"/>
            </w:pPr>
            <w:r>
              <w:t>AES400-1.6-15-3/25-2</w:t>
            </w:r>
          </w:p>
        </w:tc>
        <w:tc>
          <w:tcPr>
            <w:tcW w:w="656" w:type="dxa"/>
            <w:vAlign w:val="center"/>
          </w:tcPr>
          <w:p>
            <w:pPr>
              <w:pStyle w:val="47"/>
            </w:pPr>
            <w:r>
              <w:t>1</w:t>
            </w:r>
          </w:p>
        </w:tc>
        <w:tc>
          <w:tcPr>
            <w:tcW w:w="31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蒸发塔顶油冷凝器</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BJS900-2.5-195-6/25-6</w:t>
            </w:r>
            <w:r>
              <w:rPr>
                <w:rFonts w:hint="eastAsia" w:ascii="宋体" w:hAnsi="宋体" w:eastAsia="宋体" w:cs="宋体"/>
                <w:szCs w:val="21"/>
              </w:rPr>
              <w:t>Ⅰ</w:t>
            </w:r>
          </w:p>
        </w:tc>
        <w:tc>
          <w:tcPr>
            <w:tcW w:w="65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4</w:t>
            </w:r>
          </w:p>
        </w:tc>
        <w:tc>
          <w:tcPr>
            <w:tcW w:w="2675" w:type="dxa"/>
            <w:vAlign w:val="center"/>
          </w:tcPr>
          <w:p>
            <w:pPr>
              <w:pStyle w:val="47"/>
            </w:pPr>
            <w:r>
              <w:t>原料油-蒸发塔底油换热器</w:t>
            </w:r>
          </w:p>
        </w:tc>
        <w:tc>
          <w:tcPr>
            <w:tcW w:w="3233" w:type="dxa"/>
            <w:vAlign w:val="center"/>
          </w:tcPr>
          <w:p>
            <w:pPr>
              <w:pStyle w:val="47"/>
            </w:pPr>
            <w:r>
              <w:t>φ57×5/φ89×6-0.58/1.18-16-10×10</w:t>
            </w:r>
          </w:p>
        </w:tc>
        <w:tc>
          <w:tcPr>
            <w:tcW w:w="656" w:type="dxa"/>
            <w:vAlign w:val="center"/>
          </w:tcPr>
          <w:p>
            <w:pPr>
              <w:pStyle w:val="47"/>
            </w:pPr>
            <w:r>
              <w:t>1</w:t>
            </w:r>
          </w:p>
        </w:tc>
        <w:tc>
          <w:tcPr>
            <w:tcW w:w="31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自动压滤机进料冷却器</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AES600-2.5-85-6/25-4</w:t>
            </w:r>
            <w:r>
              <w:rPr>
                <w:rFonts w:hint="eastAsia" w:ascii="宋体" w:hAnsi="宋体" w:eastAsia="宋体" w:cs="宋体"/>
                <w:szCs w:val="21"/>
              </w:rPr>
              <w:t>Ⅰ</w:t>
            </w:r>
          </w:p>
        </w:tc>
        <w:tc>
          <w:tcPr>
            <w:tcW w:w="65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5</w:t>
            </w:r>
          </w:p>
        </w:tc>
        <w:tc>
          <w:tcPr>
            <w:tcW w:w="2675" w:type="dxa"/>
            <w:vAlign w:val="center"/>
          </w:tcPr>
          <w:p>
            <w:pPr>
              <w:pStyle w:val="47"/>
            </w:pPr>
            <w:r>
              <w:t>成品油冷却器</w:t>
            </w:r>
          </w:p>
        </w:tc>
        <w:tc>
          <w:tcPr>
            <w:tcW w:w="3233" w:type="dxa"/>
            <w:vAlign w:val="center"/>
          </w:tcPr>
          <w:p>
            <w:pPr>
              <w:pStyle w:val="47"/>
            </w:pPr>
            <w:r>
              <w:t>AES400-2.5-25-4.5/25-2</w:t>
            </w:r>
            <w:r>
              <w:rPr>
                <w:rFonts w:hint="eastAsia" w:ascii="宋体" w:hAnsi="宋体" w:cs="宋体"/>
              </w:rPr>
              <w:t>Ⅰ</w:t>
            </w:r>
          </w:p>
        </w:tc>
        <w:tc>
          <w:tcPr>
            <w:tcW w:w="656" w:type="dxa"/>
            <w:vAlign w:val="center"/>
          </w:tcPr>
          <w:p>
            <w:pPr>
              <w:pStyle w:val="47"/>
            </w:pPr>
            <w:r>
              <w:t>2</w:t>
            </w:r>
          </w:p>
        </w:tc>
        <w:tc>
          <w:tcPr>
            <w:tcW w:w="31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成品油冷却器</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AES600-2.5-85-6/25-4</w:t>
            </w:r>
            <w:r>
              <w:rPr>
                <w:rFonts w:hint="eastAsia" w:ascii="宋体" w:hAnsi="宋体" w:eastAsia="宋体" w:cs="宋体"/>
                <w:szCs w:val="21"/>
              </w:rPr>
              <w:t>Ⅰ</w:t>
            </w:r>
          </w:p>
        </w:tc>
        <w:tc>
          <w:tcPr>
            <w:tcW w:w="65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6</w:t>
            </w:r>
          </w:p>
        </w:tc>
        <w:tc>
          <w:tcPr>
            <w:tcW w:w="2675" w:type="dxa"/>
            <w:vAlign w:val="center"/>
          </w:tcPr>
          <w:p>
            <w:pPr>
              <w:pStyle w:val="47"/>
            </w:pPr>
            <w:r>
              <w:t>蒸发塔进料加热器</w:t>
            </w:r>
          </w:p>
        </w:tc>
        <w:tc>
          <w:tcPr>
            <w:tcW w:w="3233" w:type="dxa"/>
            <w:vAlign w:val="center"/>
          </w:tcPr>
          <w:p>
            <w:pPr>
              <w:pStyle w:val="47"/>
            </w:pPr>
            <w:r>
              <w:t>Q=734kw</w:t>
            </w:r>
          </w:p>
        </w:tc>
        <w:tc>
          <w:tcPr>
            <w:tcW w:w="656" w:type="dxa"/>
            <w:vAlign w:val="center"/>
          </w:tcPr>
          <w:p>
            <w:pPr>
              <w:pStyle w:val="47"/>
            </w:pPr>
            <w:r>
              <w:t>1</w:t>
            </w:r>
          </w:p>
        </w:tc>
        <w:tc>
          <w:tcPr>
            <w:tcW w:w="31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蒸发塔进料加热器</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BES500-2.5-55-6/25-4</w:t>
            </w:r>
            <w:r>
              <w:rPr>
                <w:rFonts w:hint="eastAsia" w:ascii="宋体" w:hAnsi="宋体" w:eastAsia="宋体" w:cs="宋体"/>
                <w:szCs w:val="21"/>
              </w:rPr>
              <w:t>Ⅰ</w:t>
            </w:r>
          </w:p>
        </w:tc>
        <w:tc>
          <w:tcPr>
            <w:tcW w:w="65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p>
        </w:tc>
        <w:tc>
          <w:tcPr>
            <w:tcW w:w="2675" w:type="dxa"/>
            <w:vAlign w:val="center"/>
          </w:tcPr>
          <w:p>
            <w:pPr>
              <w:pStyle w:val="47"/>
            </w:pPr>
          </w:p>
        </w:tc>
        <w:tc>
          <w:tcPr>
            <w:tcW w:w="3233" w:type="dxa"/>
            <w:vAlign w:val="center"/>
          </w:tcPr>
          <w:p>
            <w:pPr>
              <w:pStyle w:val="47"/>
            </w:pPr>
          </w:p>
        </w:tc>
        <w:tc>
          <w:tcPr>
            <w:tcW w:w="656" w:type="dxa"/>
            <w:vAlign w:val="center"/>
          </w:tcPr>
          <w:p>
            <w:pPr>
              <w:pStyle w:val="47"/>
            </w:pPr>
          </w:p>
        </w:tc>
        <w:tc>
          <w:tcPr>
            <w:tcW w:w="31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基础油原料加热器</w:t>
            </w:r>
          </w:p>
        </w:tc>
        <w:tc>
          <w:tcPr>
            <w:tcW w:w="292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BES500-2.5-25-3/25-4</w:t>
            </w:r>
            <w:r>
              <w:rPr>
                <w:rFonts w:hint="eastAsia" w:ascii="宋体" w:hAnsi="宋体" w:eastAsia="宋体" w:cs="宋体"/>
                <w:szCs w:val="21"/>
              </w:rPr>
              <w:t>Ⅰ</w:t>
            </w:r>
          </w:p>
        </w:tc>
        <w:tc>
          <w:tcPr>
            <w:tcW w:w="65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p>
        </w:tc>
        <w:tc>
          <w:tcPr>
            <w:tcW w:w="2675" w:type="dxa"/>
            <w:vAlign w:val="center"/>
          </w:tcPr>
          <w:p>
            <w:pPr>
              <w:pStyle w:val="47"/>
            </w:pPr>
          </w:p>
        </w:tc>
        <w:tc>
          <w:tcPr>
            <w:tcW w:w="3233" w:type="dxa"/>
            <w:vAlign w:val="center"/>
          </w:tcPr>
          <w:p>
            <w:pPr>
              <w:pStyle w:val="47"/>
            </w:pPr>
          </w:p>
        </w:tc>
        <w:tc>
          <w:tcPr>
            <w:tcW w:w="656" w:type="dxa"/>
            <w:vAlign w:val="center"/>
          </w:tcPr>
          <w:p>
            <w:pPr>
              <w:pStyle w:val="47"/>
            </w:pPr>
          </w:p>
        </w:tc>
        <w:tc>
          <w:tcPr>
            <w:tcW w:w="3144" w:type="dxa"/>
            <w:vAlign w:val="center"/>
          </w:tcPr>
          <w:p>
            <w:pPr>
              <w:pStyle w:val="47"/>
            </w:pPr>
          </w:p>
        </w:tc>
        <w:tc>
          <w:tcPr>
            <w:tcW w:w="2929" w:type="dxa"/>
            <w:vAlign w:val="center"/>
          </w:tcPr>
          <w:p>
            <w:pPr>
              <w:pStyle w:val="47"/>
            </w:pPr>
          </w:p>
        </w:tc>
        <w:tc>
          <w:tcPr>
            <w:tcW w:w="656" w:type="dxa"/>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p>
        </w:tc>
        <w:tc>
          <w:tcPr>
            <w:tcW w:w="2675" w:type="dxa"/>
            <w:vAlign w:val="center"/>
          </w:tcPr>
          <w:p>
            <w:pPr>
              <w:pStyle w:val="47"/>
            </w:pPr>
          </w:p>
        </w:tc>
        <w:tc>
          <w:tcPr>
            <w:tcW w:w="3233" w:type="dxa"/>
            <w:vAlign w:val="center"/>
          </w:tcPr>
          <w:p>
            <w:pPr>
              <w:pStyle w:val="47"/>
            </w:pPr>
          </w:p>
        </w:tc>
        <w:tc>
          <w:tcPr>
            <w:tcW w:w="656" w:type="dxa"/>
            <w:vAlign w:val="center"/>
          </w:tcPr>
          <w:p>
            <w:pPr>
              <w:pStyle w:val="47"/>
            </w:pPr>
          </w:p>
        </w:tc>
        <w:tc>
          <w:tcPr>
            <w:tcW w:w="3144" w:type="dxa"/>
            <w:vAlign w:val="center"/>
          </w:tcPr>
          <w:p>
            <w:pPr>
              <w:pStyle w:val="47"/>
            </w:pPr>
          </w:p>
        </w:tc>
        <w:tc>
          <w:tcPr>
            <w:tcW w:w="2929" w:type="dxa"/>
            <w:vAlign w:val="center"/>
          </w:tcPr>
          <w:p>
            <w:pPr>
              <w:pStyle w:val="47"/>
            </w:pPr>
          </w:p>
        </w:tc>
        <w:tc>
          <w:tcPr>
            <w:tcW w:w="656" w:type="dxa"/>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五</w:t>
            </w:r>
          </w:p>
        </w:tc>
        <w:tc>
          <w:tcPr>
            <w:tcW w:w="6564" w:type="dxa"/>
            <w:gridSpan w:val="3"/>
            <w:vAlign w:val="center"/>
          </w:tcPr>
          <w:p>
            <w:pPr>
              <w:pStyle w:val="47"/>
            </w:pPr>
            <w:r>
              <w:t>其他</w:t>
            </w:r>
          </w:p>
        </w:tc>
        <w:tc>
          <w:tcPr>
            <w:tcW w:w="6729" w:type="dxa"/>
            <w:gridSpan w:val="3"/>
            <w:vAlign w:val="center"/>
          </w:tcPr>
          <w:p>
            <w:pPr>
              <w:pStyle w:val="47"/>
            </w:pPr>
            <w:r>
              <w:t>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1</w:t>
            </w:r>
          </w:p>
        </w:tc>
        <w:tc>
          <w:tcPr>
            <w:tcW w:w="2675" w:type="dxa"/>
            <w:vAlign w:val="center"/>
          </w:tcPr>
          <w:p>
            <w:pPr>
              <w:pStyle w:val="47"/>
            </w:pPr>
            <w:r>
              <w:t>自动厢式压滤机</w:t>
            </w:r>
          </w:p>
        </w:tc>
        <w:tc>
          <w:tcPr>
            <w:tcW w:w="3233" w:type="dxa"/>
            <w:vAlign w:val="center"/>
          </w:tcPr>
          <w:p>
            <w:pPr>
              <w:pStyle w:val="47"/>
            </w:pPr>
            <w:r>
              <w:t>XAZ80/1000-3DG</w:t>
            </w:r>
          </w:p>
        </w:tc>
        <w:tc>
          <w:tcPr>
            <w:tcW w:w="656" w:type="dxa"/>
            <w:vAlign w:val="center"/>
          </w:tcPr>
          <w:p>
            <w:pPr>
              <w:pStyle w:val="47"/>
            </w:pPr>
            <w:r>
              <w:t>2</w:t>
            </w:r>
          </w:p>
        </w:tc>
        <w:tc>
          <w:tcPr>
            <w:tcW w:w="3144" w:type="dxa"/>
          </w:tcPr>
          <w:p>
            <w:pPr>
              <w:pStyle w:val="47"/>
            </w:pPr>
            <w:r>
              <w:rPr>
                <w:rFonts w:hint="eastAsia"/>
              </w:rPr>
              <w:t>自动厢式压滤</w:t>
            </w:r>
          </w:p>
          <w:p>
            <w:pPr>
              <w:pStyle w:val="47"/>
            </w:pPr>
            <w:r>
              <w:rPr>
                <w:rFonts w:hint="eastAsia"/>
              </w:rPr>
              <w:t>机</w:t>
            </w:r>
          </w:p>
        </w:tc>
        <w:tc>
          <w:tcPr>
            <w:tcW w:w="2929" w:type="dxa"/>
          </w:tcPr>
          <w:p>
            <w:pPr>
              <w:pStyle w:val="47"/>
            </w:pPr>
            <w:r>
              <w:t xml:space="preserve">12.5t/h </w:t>
            </w:r>
            <w:r>
              <w:rPr>
                <w:rFonts w:hint="eastAsia"/>
              </w:rPr>
              <w:t>处理量</w:t>
            </w:r>
          </w:p>
        </w:tc>
        <w:tc>
          <w:tcPr>
            <w:tcW w:w="656" w:type="dxa"/>
          </w:tcPr>
          <w:p>
            <w:pPr>
              <w:pStyle w:val="47"/>
            </w:pPr>
            <w: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2</w:t>
            </w:r>
          </w:p>
        </w:tc>
        <w:tc>
          <w:tcPr>
            <w:tcW w:w="2675" w:type="dxa"/>
            <w:vAlign w:val="center"/>
          </w:tcPr>
          <w:p>
            <w:pPr>
              <w:pStyle w:val="47"/>
            </w:pPr>
            <w:r>
              <w:t>板框压滤机</w:t>
            </w:r>
          </w:p>
        </w:tc>
        <w:tc>
          <w:tcPr>
            <w:tcW w:w="3233" w:type="dxa"/>
            <w:vAlign w:val="center"/>
          </w:tcPr>
          <w:p>
            <w:pPr>
              <w:pStyle w:val="47"/>
            </w:pPr>
            <w:r>
              <w:t>BAJ30/635-25</w:t>
            </w:r>
          </w:p>
        </w:tc>
        <w:tc>
          <w:tcPr>
            <w:tcW w:w="656" w:type="dxa"/>
            <w:vAlign w:val="center"/>
          </w:tcPr>
          <w:p>
            <w:pPr>
              <w:pStyle w:val="47"/>
            </w:pPr>
            <w:r>
              <w:t>3</w:t>
            </w:r>
          </w:p>
        </w:tc>
        <w:tc>
          <w:tcPr>
            <w:tcW w:w="3144" w:type="dxa"/>
          </w:tcPr>
          <w:p>
            <w:pPr>
              <w:pStyle w:val="47"/>
            </w:pPr>
          </w:p>
          <w:p>
            <w:pPr>
              <w:pStyle w:val="47"/>
            </w:pPr>
            <w:r>
              <w:rPr>
                <w:rFonts w:hint="eastAsia"/>
              </w:rPr>
              <w:t>袋式过滤器</w:t>
            </w:r>
          </w:p>
        </w:tc>
        <w:tc>
          <w:tcPr>
            <w:tcW w:w="2929" w:type="dxa"/>
          </w:tcPr>
          <w:p>
            <w:pPr>
              <w:pStyle w:val="47"/>
            </w:pPr>
            <w:r>
              <w:t xml:space="preserve">12.5t/h </w:t>
            </w:r>
            <w:r>
              <w:rPr>
                <w:rFonts w:hint="eastAsia"/>
              </w:rPr>
              <w:t>处理量</w:t>
            </w:r>
          </w:p>
        </w:tc>
        <w:tc>
          <w:tcPr>
            <w:tcW w:w="656" w:type="dxa"/>
          </w:tcPr>
          <w:p>
            <w:pPr>
              <w:pStyle w:val="47"/>
            </w:pPr>
          </w:p>
          <w:p>
            <w:pPr>
              <w:pStyle w:val="47"/>
            </w:pPr>
            <w: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3</w:t>
            </w:r>
          </w:p>
        </w:tc>
        <w:tc>
          <w:tcPr>
            <w:tcW w:w="2675" w:type="dxa"/>
            <w:vAlign w:val="center"/>
          </w:tcPr>
          <w:p>
            <w:pPr>
              <w:pStyle w:val="47"/>
            </w:pPr>
            <w:r>
              <w:t>搅拌器减速机</w:t>
            </w:r>
          </w:p>
        </w:tc>
        <w:tc>
          <w:tcPr>
            <w:tcW w:w="3233" w:type="dxa"/>
            <w:vAlign w:val="center"/>
          </w:tcPr>
          <w:p>
            <w:pPr>
              <w:pStyle w:val="47"/>
            </w:pPr>
            <w:r>
              <w:t>XLD-6</w:t>
            </w:r>
          </w:p>
        </w:tc>
        <w:tc>
          <w:tcPr>
            <w:tcW w:w="656" w:type="dxa"/>
            <w:vAlign w:val="center"/>
          </w:tcPr>
          <w:p>
            <w:pPr>
              <w:pStyle w:val="47"/>
            </w:pPr>
            <w:r>
              <w:t>2</w:t>
            </w:r>
          </w:p>
        </w:tc>
        <w:tc>
          <w:tcPr>
            <w:tcW w:w="3144" w:type="dxa"/>
          </w:tcPr>
          <w:p>
            <w:pPr>
              <w:pStyle w:val="47"/>
            </w:pPr>
            <w:r>
              <w:rPr>
                <w:rFonts w:hint="eastAsia"/>
              </w:rPr>
              <w:t>分子筛加料计量系统</w:t>
            </w:r>
          </w:p>
        </w:tc>
        <w:tc>
          <w:tcPr>
            <w:tcW w:w="2929" w:type="dxa"/>
          </w:tcPr>
          <w:p>
            <w:pPr>
              <w:pStyle w:val="47"/>
            </w:pPr>
            <w:r>
              <w:t xml:space="preserve">500kg/h </w:t>
            </w:r>
            <w:r>
              <w:rPr>
                <w:rFonts w:hint="eastAsia"/>
              </w:rPr>
              <w:t>加料量</w:t>
            </w:r>
          </w:p>
        </w:tc>
        <w:tc>
          <w:tcPr>
            <w:tcW w:w="656" w:type="dxa"/>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4</w:t>
            </w:r>
          </w:p>
        </w:tc>
        <w:tc>
          <w:tcPr>
            <w:tcW w:w="2675" w:type="dxa"/>
            <w:vAlign w:val="center"/>
          </w:tcPr>
          <w:p>
            <w:pPr>
              <w:pStyle w:val="47"/>
            </w:pPr>
            <w:r>
              <w:t>输送器减速机</w:t>
            </w:r>
          </w:p>
        </w:tc>
        <w:tc>
          <w:tcPr>
            <w:tcW w:w="3233" w:type="dxa"/>
            <w:vAlign w:val="center"/>
          </w:tcPr>
          <w:p>
            <w:pPr>
              <w:pStyle w:val="47"/>
            </w:pPr>
            <w:r>
              <w:t>250</w:t>
            </w:r>
          </w:p>
        </w:tc>
        <w:tc>
          <w:tcPr>
            <w:tcW w:w="656" w:type="dxa"/>
            <w:vAlign w:val="center"/>
          </w:tcPr>
          <w:p>
            <w:pPr>
              <w:pStyle w:val="47"/>
            </w:pPr>
            <w:r>
              <w:t>1</w:t>
            </w:r>
          </w:p>
        </w:tc>
        <w:tc>
          <w:tcPr>
            <w:tcW w:w="3144" w:type="dxa"/>
          </w:tcPr>
          <w:p>
            <w:pPr>
              <w:pStyle w:val="47"/>
            </w:pPr>
            <w:r>
              <w:rPr>
                <w:rFonts w:hint="eastAsia"/>
              </w:rPr>
              <w:t>脱氮聚结器</w:t>
            </w:r>
          </w:p>
        </w:tc>
        <w:tc>
          <w:tcPr>
            <w:tcW w:w="2929" w:type="dxa"/>
          </w:tcPr>
          <w:p>
            <w:pPr>
              <w:pStyle w:val="47"/>
            </w:pPr>
            <w:r>
              <w:t xml:space="preserve">12.5t/h </w:t>
            </w:r>
            <w:r>
              <w:rPr>
                <w:rFonts w:hint="eastAsia"/>
              </w:rPr>
              <w:t>处理量</w:t>
            </w:r>
          </w:p>
        </w:tc>
        <w:tc>
          <w:tcPr>
            <w:tcW w:w="656" w:type="dxa"/>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5</w:t>
            </w:r>
          </w:p>
        </w:tc>
        <w:tc>
          <w:tcPr>
            <w:tcW w:w="2675" w:type="dxa"/>
            <w:vAlign w:val="center"/>
          </w:tcPr>
          <w:p>
            <w:pPr>
              <w:pStyle w:val="47"/>
            </w:pPr>
            <w:r>
              <w:t>混合器</w:t>
            </w:r>
          </w:p>
        </w:tc>
        <w:tc>
          <w:tcPr>
            <w:tcW w:w="3233" w:type="dxa"/>
            <w:vAlign w:val="center"/>
          </w:tcPr>
          <w:p>
            <w:pPr>
              <w:pStyle w:val="47"/>
            </w:pPr>
            <w:r>
              <w:t>SK-40/80-25-1000A</w:t>
            </w:r>
          </w:p>
        </w:tc>
        <w:tc>
          <w:tcPr>
            <w:tcW w:w="656" w:type="dxa"/>
            <w:vAlign w:val="center"/>
          </w:tcPr>
          <w:p>
            <w:pPr>
              <w:pStyle w:val="47"/>
            </w:pPr>
            <w:r>
              <w:t>2</w:t>
            </w:r>
          </w:p>
        </w:tc>
        <w:tc>
          <w:tcPr>
            <w:tcW w:w="3144" w:type="dxa"/>
            <w:vAlign w:val="center"/>
          </w:tcPr>
          <w:p>
            <w:pPr>
              <w:pStyle w:val="47"/>
            </w:pPr>
          </w:p>
        </w:tc>
        <w:tc>
          <w:tcPr>
            <w:tcW w:w="2929" w:type="dxa"/>
            <w:vAlign w:val="center"/>
          </w:tcPr>
          <w:p>
            <w:pPr>
              <w:pStyle w:val="47"/>
            </w:pPr>
          </w:p>
        </w:tc>
        <w:tc>
          <w:tcPr>
            <w:tcW w:w="656" w:type="dxa"/>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6</w:t>
            </w:r>
          </w:p>
        </w:tc>
        <w:tc>
          <w:tcPr>
            <w:tcW w:w="2675" w:type="dxa"/>
            <w:vAlign w:val="center"/>
          </w:tcPr>
          <w:p>
            <w:pPr>
              <w:pStyle w:val="47"/>
            </w:pPr>
            <w:r>
              <w:t>过滤器</w:t>
            </w:r>
          </w:p>
        </w:tc>
        <w:tc>
          <w:tcPr>
            <w:tcW w:w="3233" w:type="dxa"/>
            <w:vAlign w:val="center"/>
          </w:tcPr>
          <w:p>
            <w:pPr>
              <w:pStyle w:val="47"/>
            </w:pPr>
            <w:r>
              <w:t>φ614×2840×8</w:t>
            </w:r>
          </w:p>
        </w:tc>
        <w:tc>
          <w:tcPr>
            <w:tcW w:w="656" w:type="dxa"/>
            <w:vAlign w:val="center"/>
          </w:tcPr>
          <w:p>
            <w:pPr>
              <w:pStyle w:val="47"/>
            </w:pPr>
            <w:r>
              <w:t>3</w:t>
            </w:r>
          </w:p>
        </w:tc>
        <w:tc>
          <w:tcPr>
            <w:tcW w:w="3144" w:type="dxa"/>
            <w:vAlign w:val="center"/>
          </w:tcPr>
          <w:p>
            <w:pPr>
              <w:pStyle w:val="47"/>
            </w:pPr>
          </w:p>
        </w:tc>
        <w:tc>
          <w:tcPr>
            <w:tcW w:w="2929" w:type="dxa"/>
            <w:vAlign w:val="center"/>
          </w:tcPr>
          <w:p>
            <w:pPr>
              <w:pStyle w:val="47"/>
            </w:pPr>
          </w:p>
        </w:tc>
        <w:tc>
          <w:tcPr>
            <w:tcW w:w="656" w:type="dxa"/>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655" w:type="dxa"/>
            <w:vAlign w:val="center"/>
          </w:tcPr>
          <w:p>
            <w:pPr>
              <w:pStyle w:val="47"/>
            </w:pPr>
            <w:r>
              <w:t>7</w:t>
            </w:r>
          </w:p>
        </w:tc>
        <w:tc>
          <w:tcPr>
            <w:tcW w:w="2675" w:type="dxa"/>
            <w:vAlign w:val="center"/>
          </w:tcPr>
          <w:p>
            <w:pPr>
              <w:pStyle w:val="47"/>
            </w:pPr>
            <w:r>
              <w:t>分子筛加料计量系统</w:t>
            </w:r>
          </w:p>
        </w:tc>
        <w:tc>
          <w:tcPr>
            <w:tcW w:w="3233" w:type="dxa"/>
            <w:vAlign w:val="center"/>
          </w:tcPr>
          <w:p>
            <w:pPr>
              <w:pStyle w:val="47"/>
            </w:pPr>
            <w:r>
              <w:t>M990S</w:t>
            </w:r>
          </w:p>
        </w:tc>
        <w:tc>
          <w:tcPr>
            <w:tcW w:w="656" w:type="dxa"/>
            <w:vAlign w:val="center"/>
          </w:tcPr>
          <w:p>
            <w:pPr>
              <w:pStyle w:val="47"/>
            </w:pPr>
            <w:r>
              <w:t>1</w:t>
            </w:r>
          </w:p>
        </w:tc>
        <w:tc>
          <w:tcPr>
            <w:tcW w:w="3144" w:type="dxa"/>
            <w:vAlign w:val="center"/>
          </w:tcPr>
          <w:p>
            <w:pPr>
              <w:pStyle w:val="47"/>
            </w:pPr>
          </w:p>
        </w:tc>
        <w:tc>
          <w:tcPr>
            <w:tcW w:w="2929" w:type="dxa"/>
            <w:vAlign w:val="center"/>
          </w:tcPr>
          <w:p>
            <w:pPr>
              <w:pStyle w:val="47"/>
            </w:pPr>
          </w:p>
        </w:tc>
        <w:tc>
          <w:tcPr>
            <w:tcW w:w="656" w:type="dxa"/>
            <w:vAlign w:val="center"/>
          </w:tcPr>
          <w:p>
            <w:pPr>
              <w:pStyle w:val="47"/>
            </w:pPr>
          </w:p>
        </w:tc>
      </w:tr>
    </w:tbl>
    <w:p>
      <w:pPr>
        <w:spacing w:line="480" w:lineRule="exact"/>
        <w:ind w:firstLine="480" w:firstLineChars="200"/>
        <w:rPr>
          <w:rFonts w:ascii="Times New Roman" w:hAnsi="Times New Roman" w:eastAsia="黑体" w:cs="Times New Roman"/>
          <w:sz w:val="24"/>
        </w:rPr>
      </w:pPr>
      <w:r>
        <w:rPr>
          <w:rFonts w:hint="eastAsia" w:ascii="Times New Roman" w:hAnsi="Times New Roman" w:eastAsia="黑体" w:cs="Times New Roman"/>
          <w:sz w:val="24"/>
        </w:rPr>
        <w:t>表3.5-</w:t>
      </w:r>
      <w:r>
        <w:rPr>
          <w:rFonts w:ascii="Times New Roman" w:hAnsi="Times New Roman" w:eastAsia="黑体" w:cs="Times New Roman"/>
          <w:sz w:val="24"/>
        </w:rPr>
        <w:t>4</w:t>
      </w:r>
      <w:r>
        <w:rPr>
          <w:rFonts w:hint="eastAsia" w:ascii="Times New Roman" w:hAnsi="Times New Roman" w:eastAsia="黑体" w:cs="Times New Roman"/>
          <w:sz w:val="24"/>
        </w:rPr>
        <w:t xml:space="preserve">                            项目变更前后减压蒸馏单元设备明细一览表</w:t>
      </w:r>
    </w:p>
    <w:tbl>
      <w:tblPr>
        <w:tblStyle w:val="19"/>
        <w:tblW w:w="1394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5"/>
        <w:gridCol w:w="2530"/>
        <w:gridCol w:w="2951"/>
        <w:gridCol w:w="764"/>
        <w:gridCol w:w="2868"/>
        <w:gridCol w:w="3308"/>
        <w:gridCol w:w="76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765" w:type="dxa"/>
            <w:vMerge w:val="restart"/>
            <w:vAlign w:val="center"/>
          </w:tcPr>
          <w:p>
            <w:pPr>
              <w:pStyle w:val="47"/>
            </w:pPr>
            <w:r>
              <w:t>序号</w:t>
            </w:r>
          </w:p>
        </w:tc>
        <w:tc>
          <w:tcPr>
            <w:tcW w:w="6245" w:type="dxa"/>
            <w:gridSpan w:val="3"/>
            <w:vAlign w:val="center"/>
          </w:tcPr>
          <w:p>
            <w:pPr>
              <w:pStyle w:val="47"/>
            </w:pPr>
            <w:r>
              <w:t>变更前</w:t>
            </w:r>
          </w:p>
        </w:tc>
        <w:tc>
          <w:tcPr>
            <w:tcW w:w="6938" w:type="dxa"/>
            <w:gridSpan w:val="3"/>
          </w:tcPr>
          <w:p>
            <w:pPr>
              <w:pStyle w:val="47"/>
            </w:pPr>
            <w:r>
              <w:t>变更后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765" w:type="dxa"/>
            <w:vMerge w:val="continue"/>
            <w:vAlign w:val="center"/>
          </w:tcPr>
          <w:p>
            <w:pPr>
              <w:pStyle w:val="47"/>
            </w:pPr>
          </w:p>
        </w:tc>
        <w:tc>
          <w:tcPr>
            <w:tcW w:w="2530" w:type="dxa"/>
            <w:vAlign w:val="center"/>
          </w:tcPr>
          <w:p>
            <w:pPr>
              <w:pStyle w:val="47"/>
            </w:pPr>
            <w:r>
              <w:t>设备名称</w:t>
            </w:r>
          </w:p>
        </w:tc>
        <w:tc>
          <w:tcPr>
            <w:tcW w:w="2951" w:type="dxa"/>
            <w:vAlign w:val="center"/>
          </w:tcPr>
          <w:p>
            <w:pPr>
              <w:pStyle w:val="47"/>
            </w:pPr>
            <w:r>
              <w:t>规格型号</w:t>
            </w:r>
          </w:p>
        </w:tc>
        <w:tc>
          <w:tcPr>
            <w:tcW w:w="764" w:type="dxa"/>
            <w:vAlign w:val="center"/>
          </w:tcPr>
          <w:p>
            <w:pPr>
              <w:pStyle w:val="47"/>
            </w:pPr>
            <w:r>
              <w:t>台数</w:t>
            </w:r>
          </w:p>
        </w:tc>
        <w:tc>
          <w:tcPr>
            <w:tcW w:w="2868" w:type="dxa"/>
            <w:vAlign w:val="center"/>
          </w:tcPr>
          <w:p>
            <w:pPr>
              <w:pStyle w:val="47"/>
            </w:pPr>
            <w:r>
              <w:t>设备名称</w:t>
            </w:r>
          </w:p>
        </w:tc>
        <w:tc>
          <w:tcPr>
            <w:tcW w:w="3308" w:type="dxa"/>
            <w:vAlign w:val="center"/>
          </w:tcPr>
          <w:p>
            <w:pPr>
              <w:pStyle w:val="47"/>
            </w:pPr>
            <w:r>
              <w:t>规格型号</w:t>
            </w:r>
          </w:p>
        </w:tc>
        <w:tc>
          <w:tcPr>
            <w:tcW w:w="762" w:type="dxa"/>
            <w:vAlign w:val="center"/>
          </w:tcPr>
          <w:p>
            <w:pPr>
              <w:pStyle w:val="47"/>
            </w:pPr>
            <w:r>
              <w:t>台数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一</w:t>
            </w:r>
          </w:p>
        </w:tc>
        <w:tc>
          <w:tcPr>
            <w:tcW w:w="6245" w:type="dxa"/>
            <w:gridSpan w:val="3"/>
            <w:vAlign w:val="center"/>
          </w:tcPr>
          <w:p>
            <w:pPr>
              <w:pStyle w:val="47"/>
            </w:pPr>
            <w:r>
              <w:t>塔类</w:t>
            </w:r>
          </w:p>
        </w:tc>
        <w:tc>
          <w:tcPr>
            <w:tcW w:w="6938" w:type="dxa"/>
            <w:gridSpan w:val="3"/>
          </w:tcPr>
          <w:p>
            <w:pPr>
              <w:pStyle w:val="47"/>
            </w:pPr>
            <w:r>
              <w:t>塔类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1</w:t>
            </w:r>
          </w:p>
        </w:tc>
        <w:tc>
          <w:tcPr>
            <w:tcW w:w="2530" w:type="dxa"/>
            <w:vAlign w:val="center"/>
          </w:tcPr>
          <w:p>
            <w:pPr>
              <w:pStyle w:val="47"/>
            </w:pPr>
            <w:r>
              <w:t>减压塔</w:t>
            </w:r>
          </w:p>
        </w:tc>
        <w:tc>
          <w:tcPr>
            <w:tcW w:w="2951" w:type="dxa"/>
            <w:vAlign w:val="center"/>
          </w:tcPr>
          <w:p>
            <w:pPr>
              <w:pStyle w:val="47"/>
            </w:pPr>
            <w:r>
              <w:t>φ2200/800X32200/5200</w:t>
            </w:r>
          </w:p>
        </w:tc>
        <w:tc>
          <w:tcPr>
            <w:tcW w:w="764" w:type="dxa"/>
            <w:vAlign w:val="center"/>
          </w:tcPr>
          <w:p>
            <w:pPr>
              <w:pStyle w:val="47"/>
            </w:pPr>
            <w:r>
              <w:t>1</w:t>
            </w:r>
          </w:p>
        </w:tc>
        <w:tc>
          <w:tcPr>
            <w:tcW w:w="28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减压塔</w:t>
            </w:r>
          </w:p>
        </w:tc>
        <w:tc>
          <w:tcPr>
            <w:tcW w:w="330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DN2000/2800×(12+3)×39658</w:t>
            </w:r>
          </w:p>
        </w:tc>
        <w:tc>
          <w:tcPr>
            <w:tcW w:w="76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2</w:t>
            </w:r>
          </w:p>
        </w:tc>
        <w:tc>
          <w:tcPr>
            <w:tcW w:w="2530" w:type="dxa"/>
            <w:vAlign w:val="center"/>
          </w:tcPr>
          <w:p>
            <w:pPr>
              <w:pStyle w:val="47"/>
            </w:pPr>
            <w:r>
              <w:t>减压汽提塔</w:t>
            </w:r>
          </w:p>
        </w:tc>
        <w:tc>
          <w:tcPr>
            <w:tcW w:w="2951" w:type="dxa"/>
            <w:vAlign w:val="center"/>
          </w:tcPr>
          <w:p>
            <w:pPr>
              <w:pStyle w:val="47"/>
            </w:pPr>
            <w:r>
              <w:t>Φ800×20300(立式）</w:t>
            </w:r>
          </w:p>
        </w:tc>
        <w:tc>
          <w:tcPr>
            <w:tcW w:w="764" w:type="dxa"/>
            <w:vAlign w:val="center"/>
          </w:tcPr>
          <w:p>
            <w:pPr>
              <w:pStyle w:val="47"/>
            </w:pPr>
            <w:r>
              <w:t>1</w:t>
            </w:r>
          </w:p>
        </w:tc>
        <w:tc>
          <w:tcPr>
            <w:tcW w:w="28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减压汽提塔</w:t>
            </w:r>
          </w:p>
        </w:tc>
        <w:tc>
          <w:tcPr>
            <w:tcW w:w="330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DN1200×(16+3)×37100</w:t>
            </w:r>
          </w:p>
        </w:tc>
        <w:tc>
          <w:tcPr>
            <w:tcW w:w="76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二</w:t>
            </w:r>
          </w:p>
        </w:tc>
        <w:tc>
          <w:tcPr>
            <w:tcW w:w="6245" w:type="dxa"/>
            <w:gridSpan w:val="3"/>
            <w:vAlign w:val="center"/>
          </w:tcPr>
          <w:p>
            <w:pPr>
              <w:pStyle w:val="47"/>
            </w:pPr>
            <w:r>
              <w:t>容器类</w:t>
            </w:r>
          </w:p>
        </w:tc>
        <w:tc>
          <w:tcPr>
            <w:tcW w:w="6938" w:type="dxa"/>
            <w:gridSpan w:val="3"/>
          </w:tcPr>
          <w:p>
            <w:pPr>
              <w:pStyle w:val="47"/>
            </w:pPr>
            <w:r>
              <w:t>容器类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p>
        </w:tc>
        <w:tc>
          <w:tcPr>
            <w:tcW w:w="2530" w:type="dxa"/>
            <w:vAlign w:val="center"/>
          </w:tcPr>
          <w:p>
            <w:pPr>
              <w:pStyle w:val="47"/>
            </w:pPr>
          </w:p>
        </w:tc>
        <w:tc>
          <w:tcPr>
            <w:tcW w:w="2951" w:type="dxa"/>
            <w:vAlign w:val="center"/>
          </w:tcPr>
          <w:p>
            <w:pPr>
              <w:pStyle w:val="47"/>
            </w:pPr>
          </w:p>
        </w:tc>
        <w:tc>
          <w:tcPr>
            <w:tcW w:w="764" w:type="dxa"/>
            <w:vAlign w:val="center"/>
          </w:tcPr>
          <w:p>
            <w:pPr>
              <w:pStyle w:val="47"/>
            </w:pPr>
          </w:p>
        </w:tc>
        <w:tc>
          <w:tcPr>
            <w:tcW w:w="2868" w:type="dxa"/>
            <w:vAlign w:val="bottom"/>
          </w:tcPr>
          <w:p>
            <w:pPr>
              <w:widowControl/>
              <w:jc w:val="center"/>
              <w:rPr>
                <w:rFonts w:ascii="Times New Roman" w:hAnsi="Times New Roman" w:eastAsia="宋体" w:cs="Times New Roman"/>
                <w:szCs w:val="21"/>
              </w:rPr>
            </w:pPr>
            <w:r>
              <w:rPr>
                <w:rFonts w:ascii="Times New Roman" w:hAnsi="Times New Roman" w:eastAsia="宋体" w:cs="Times New Roman"/>
                <w:szCs w:val="21"/>
              </w:rPr>
              <w:t>减顶分水罐</w:t>
            </w:r>
          </w:p>
        </w:tc>
        <w:tc>
          <w:tcPr>
            <w:tcW w:w="3308"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Φ1600*10/12*4474</w:t>
            </w:r>
          </w:p>
        </w:tc>
        <w:tc>
          <w:tcPr>
            <w:tcW w:w="762"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p>
        </w:tc>
        <w:tc>
          <w:tcPr>
            <w:tcW w:w="2530" w:type="dxa"/>
            <w:vAlign w:val="center"/>
          </w:tcPr>
          <w:p>
            <w:pPr>
              <w:pStyle w:val="47"/>
            </w:pPr>
          </w:p>
        </w:tc>
        <w:tc>
          <w:tcPr>
            <w:tcW w:w="2951" w:type="dxa"/>
            <w:vAlign w:val="center"/>
          </w:tcPr>
          <w:p>
            <w:pPr>
              <w:pStyle w:val="47"/>
            </w:pPr>
          </w:p>
        </w:tc>
        <w:tc>
          <w:tcPr>
            <w:tcW w:w="764" w:type="dxa"/>
            <w:vAlign w:val="center"/>
          </w:tcPr>
          <w:p>
            <w:pPr>
              <w:pStyle w:val="47"/>
            </w:pPr>
          </w:p>
        </w:tc>
        <w:tc>
          <w:tcPr>
            <w:tcW w:w="2868"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减压进料缓冲罐</w:t>
            </w:r>
          </w:p>
        </w:tc>
        <w:tc>
          <w:tcPr>
            <w:tcW w:w="3308"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Φ2400*14*7900</w:t>
            </w:r>
          </w:p>
        </w:tc>
        <w:tc>
          <w:tcPr>
            <w:tcW w:w="762"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p>
        </w:tc>
        <w:tc>
          <w:tcPr>
            <w:tcW w:w="2530" w:type="dxa"/>
            <w:vAlign w:val="center"/>
          </w:tcPr>
          <w:p>
            <w:pPr>
              <w:pStyle w:val="47"/>
            </w:pPr>
          </w:p>
        </w:tc>
        <w:tc>
          <w:tcPr>
            <w:tcW w:w="2951" w:type="dxa"/>
            <w:vAlign w:val="center"/>
          </w:tcPr>
          <w:p>
            <w:pPr>
              <w:pStyle w:val="47"/>
            </w:pPr>
          </w:p>
        </w:tc>
        <w:tc>
          <w:tcPr>
            <w:tcW w:w="764" w:type="dxa"/>
            <w:vAlign w:val="center"/>
          </w:tcPr>
          <w:p>
            <w:pPr>
              <w:pStyle w:val="47"/>
            </w:pPr>
          </w:p>
        </w:tc>
        <w:tc>
          <w:tcPr>
            <w:tcW w:w="2868"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烧焦罐</w:t>
            </w:r>
          </w:p>
        </w:tc>
        <w:tc>
          <w:tcPr>
            <w:tcW w:w="3308"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Φ1200*10/12*5850</w:t>
            </w:r>
          </w:p>
        </w:tc>
        <w:tc>
          <w:tcPr>
            <w:tcW w:w="762"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三</w:t>
            </w:r>
          </w:p>
        </w:tc>
        <w:tc>
          <w:tcPr>
            <w:tcW w:w="6245" w:type="dxa"/>
            <w:gridSpan w:val="3"/>
            <w:vAlign w:val="center"/>
          </w:tcPr>
          <w:p>
            <w:pPr>
              <w:pStyle w:val="47"/>
            </w:pPr>
            <w:r>
              <w:t>机泵类</w:t>
            </w:r>
          </w:p>
        </w:tc>
        <w:tc>
          <w:tcPr>
            <w:tcW w:w="6938" w:type="dxa"/>
            <w:gridSpan w:val="3"/>
          </w:tcPr>
          <w:p>
            <w:pPr>
              <w:pStyle w:val="47"/>
            </w:pPr>
            <w:r>
              <w:t>机泵类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1</w:t>
            </w:r>
          </w:p>
        </w:tc>
        <w:tc>
          <w:tcPr>
            <w:tcW w:w="2530" w:type="dxa"/>
            <w:vAlign w:val="center"/>
          </w:tcPr>
          <w:p>
            <w:pPr>
              <w:pStyle w:val="47"/>
            </w:pPr>
            <w:r>
              <w:t>减顶油泵</w:t>
            </w:r>
          </w:p>
        </w:tc>
        <w:tc>
          <w:tcPr>
            <w:tcW w:w="2951" w:type="dxa"/>
            <w:vAlign w:val="center"/>
          </w:tcPr>
          <w:p>
            <w:pPr>
              <w:pStyle w:val="47"/>
            </w:pPr>
            <w:r>
              <w:t>ZA40-2315A</w:t>
            </w:r>
          </w:p>
        </w:tc>
        <w:tc>
          <w:tcPr>
            <w:tcW w:w="764" w:type="dxa"/>
            <w:vAlign w:val="center"/>
          </w:tcPr>
          <w:p>
            <w:pPr>
              <w:pStyle w:val="47"/>
            </w:pPr>
            <w:r>
              <w:t>2</w:t>
            </w:r>
          </w:p>
        </w:tc>
        <w:tc>
          <w:tcPr>
            <w:tcW w:w="2868" w:type="dxa"/>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原料泵</w:t>
            </w:r>
          </w:p>
        </w:tc>
        <w:tc>
          <w:tcPr>
            <w:tcW w:w="330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LZA40-250</w:t>
            </w:r>
          </w:p>
        </w:tc>
        <w:tc>
          <w:tcPr>
            <w:tcW w:w="762"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2</w:t>
            </w:r>
          </w:p>
        </w:tc>
        <w:tc>
          <w:tcPr>
            <w:tcW w:w="2530" w:type="dxa"/>
            <w:vAlign w:val="center"/>
          </w:tcPr>
          <w:p>
            <w:pPr>
              <w:pStyle w:val="47"/>
            </w:pPr>
            <w:r>
              <w:t>减一线产品泵</w:t>
            </w:r>
          </w:p>
        </w:tc>
        <w:tc>
          <w:tcPr>
            <w:tcW w:w="2951" w:type="dxa"/>
            <w:vAlign w:val="center"/>
          </w:tcPr>
          <w:p>
            <w:pPr>
              <w:pStyle w:val="47"/>
            </w:pPr>
            <w:r>
              <w:t>ZA40-2315A</w:t>
            </w:r>
          </w:p>
        </w:tc>
        <w:tc>
          <w:tcPr>
            <w:tcW w:w="764" w:type="dxa"/>
            <w:vAlign w:val="center"/>
          </w:tcPr>
          <w:p>
            <w:pPr>
              <w:pStyle w:val="47"/>
            </w:pPr>
            <w:r>
              <w:t>2</w:t>
            </w:r>
          </w:p>
        </w:tc>
        <w:tc>
          <w:tcPr>
            <w:tcW w:w="28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减一线及减一中泵</w:t>
            </w:r>
          </w:p>
        </w:tc>
        <w:tc>
          <w:tcPr>
            <w:tcW w:w="330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LZA40-250</w:t>
            </w:r>
          </w:p>
        </w:tc>
        <w:tc>
          <w:tcPr>
            <w:tcW w:w="762"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3</w:t>
            </w:r>
          </w:p>
        </w:tc>
        <w:tc>
          <w:tcPr>
            <w:tcW w:w="2530" w:type="dxa"/>
            <w:vAlign w:val="center"/>
          </w:tcPr>
          <w:p>
            <w:pPr>
              <w:pStyle w:val="47"/>
            </w:pPr>
            <w:r>
              <w:t>减二线产品泵</w:t>
            </w:r>
          </w:p>
        </w:tc>
        <w:tc>
          <w:tcPr>
            <w:tcW w:w="2951" w:type="dxa"/>
            <w:vAlign w:val="center"/>
          </w:tcPr>
          <w:p>
            <w:pPr>
              <w:pStyle w:val="47"/>
            </w:pPr>
            <w:r>
              <w:t>50Y</w:t>
            </w:r>
            <w:r>
              <w:rPr>
                <w:rFonts w:hint="eastAsia" w:ascii="宋体" w:hAnsi="宋体" w:cs="宋体"/>
              </w:rPr>
              <w:t>Ⅱ</w:t>
            </w:r>
            <w:r>
              <w:t>60*2</w:t>
            </w:r>
          </w:p>
        </w:tc>
        <w:tc>
          <w:tcPr>
            <w:tcW w:w="764" w:type="dxa"/>
            <w:vAlign w:val="center"/>
          </w:tcPr>
          <w:p>
            <w:pPr>
              <w:pStyle w:val="47"/>
            </w:pPr>
            <w:r>
              <w:t>2</w:t>
            </w:r>
          </w:p>
        </w:tc>
        <w:tc>
          <w:tcPr>
            <w:tcW w:w="28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减二线及减二中泵</w:t>
            </w:r>
          </w:p>
        </w:tc>
        <w:tc>
          <w:tcPr>
            <w:tcW w:w="330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LZE25-315</w:t>
            </w:r>
          </w:p>
        </w:tc>
        <w:tc>
          <w:tcPr>
            <w:tcW w:w="762"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4</w:t>
            </w:r>
          </w:p>
        </w:tc>
        <w:tc>
          <w:tcPr>
            <w:tcW w:w="2530" w:type="dxa"/>
            <w:vAlign w:val="center"/>
          </w:tcPr>
          <w:p>
            <w:pPr>
              <w:pStyle w:val="47"/>
            </w:pPr>
            <w:r>
              <w:t>减三线产品泵</w:t>
            </w:r>
          </w:p>
        </w:tc>
        <w:tc>
          <w:tcPr>
            <w:tcW w:w="2951" w:type="dxa"/>
            <w:vAlign w:val="center"/>
          </w:tcPr>
          <w:p>
            <w:pPr>
              <w:pStyle w:val="47"/>
            </w:pPr>
            <w:r>
              <w:t>50AY-60G*2</w:t>
            </w:r>
          </w:p>
        </w:tc>
        <w:tc>
          <w:tcPr>
            <w:tcW w:w="764" w:type="dxa"/>
            <w:vAlign w:val="center"/>
          </w:tcPr>
          <w:p>
            <w:pPr>
              <w:pStyle w:val="47"/>
            </w:pPr>
            <w:r>
              <w:t>2</w:t>
            </w:r>
          </w:p>
        </w:tc>
        <w:tc>
          <w:tcPr>
            <w:tcW w:w="28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减三线及减三中泵</w:t>
            </w:r>
          </w:p>
        </w:tc>
        <w:tc>
          <w:tcPr>
            <w:tcW w:w="330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LZE40-400</w:t>
            </w:r>
          </w:p>
        </w:tc>
        <w:tc>
          <w:tcPr>
            <w:tcW w:w="762"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5</w:t>
            </w:r>
          </w:p>
        </w:tc>
        <w:tc>
          <w:tcPr>
            <w:tcW w:w="2530" w:type="dxa"/>
            <w:vAlign w:val="center"/>
          </w:tcPr>
          <w:p>
            <w:pPr>
              <w:pStyle w:val="47"/>
            </w:pPr>
            <w:r>
              <w:t>减底油泵</w:t>
            </w:r>
          </w:p>
        </w:tc>
        <w:tc>
          <w:tcPr>
            <w:tcW w:w="2951" w:type="dxa"/>
            <w:vAlign w:val="center"/>
          </w:tcPr>
          <w:p>
            <w:pPr>
              <w:pStyle w:val="47"/>
            </w:pPr>
            <w:r>
              <w:t>ZE40-2315A</w:t>
            </w:r>
          </w:p>
        </w:tc>
        <w:tc>
          <w:tcPr>
            <w:tcW w:w="764" w:type="dxa"/>
            <w:vAlign w:val="center"/>
          </w:tcPr>
          <w:p>
            <w:pPr>
              <w:pStyle w:val="47"/>
            </w:pPr>
            <w:r>
              <w:t>2</w:t>
            </w:r>
          </w:p>
        </w:tc>
        <w:tc>
          <w:tcPr>
            <w:tcW w:w="28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减四线及减四中泵</w:t>
            </w:r>
          </w:p>
        </w:tc>
        <w:tc>
          <w:tcPr>
            <w:tcW w:w="330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LZE40-315</w:t>
            </w:r>
          </w:p>
        </w:tc>
        <w:tc>
          <w:tcPr>
            <w:tcW w:w="762"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p>
        </w:tc>
        <w:tc>
          <w:tcPr>
            <w:tcW w:w="2530" w:type="dxa"/>
            <w:vAlign w:val="center"/>
          </w:tcPr>
          <w:p>
            <w:pPr>
              <w:pStyle w:val="47"/>
            </w:pPr>
          </w:p>
        </w:tc>
        <w:tc>
          <w:tcPr>
            <w:tcW w:w="2951" w:type="dxa"/>
            <w:vAlign w:val="center"/>
          </w:tcPr>
          <w:p>
            <w:pPr>
              <w:pStyle w:val="47"/>
            </w:pPr>
          </w:p>
        </w:tc>
        <w:tc>
          <w:tcPr>
            <w:tcW w:w="764" w:type="dxa"/>
            <w:vAlign w:val="center"/>
          </w:tcPr>
          <w:p>
            <w:pPr>
              <w:pStyle w:val="47"/>
            </w:pPr>
          </w:p>
        </w:tc>
        <w:tc>
          <w:tcPr>
            <w:tcW w:w="28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减压塔底泵</w:t>
            </w:r>
          </w:p>
        </w:tc>
        <w:tc>
          <w:tcPr>
            <w:tcW w:w="330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HMD108-40BT1</w:t>
            </w:r>
          </w:p>
        </w:tc>
        <w:tc>
          <w:tcPr>
            <w:tcW w:w="762"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p>
        </w:tc>
        <w:tc>
          <w:tcPr>
            <w:tcW w:w="2530" w:type="dxa"/>
            <w:vAlign w:val="center"/>
          </w:tcPr>
          <w:p>
            <w:pPr>
              <w:pStyle w:val="47"/>
            </w:pPr>
          </w:p>
        </w:tc>
        <w:tc>
          <w:tcPr>
            <w:tcW w:w="2951" w:type="dxa"/>
            <w:vAlign w:val="center"/>
          </w:tcPr>
          <w:p>
            <w:pPr>
              <w:pStyle w:val="47"/>
            </w:pPr>
          </w:p>
        </w:tc>
        <w:tc>
          <w:tcPr>
            <w:tcW w:w="764" w:type="dxa"/>
            <w:vAlign w:val="center"/>
          </w:tcPr>
          <w:p>
            <w:pPr>
              <w:pStyle w:val="47"/>
            </w:pPr>
          </w:p>
        </w:tc>
        <w:tc>
          <w:tcPr>
            <w:tcW w:w="28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减顶污油泵</w:t>
            </w:r>
          </w:p>
        </w:tc>
        <w:tc>
          <w:tcPr>
            <w:tcW w:w="330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LX25-15-250</w:t>
            </w:r>
          </w:p>
        </w:tc>
        <w:tc>
          <w:tcPr>
            <w:tcW w:w="762"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p>
        </w:tc>
        <w:tc>
          <w:tcPr>
            <w:tcW w:w="2530" w:type="dxa"/>
            <w:vAlign w:val="center"/>
          </w:tcPr>
          <w:p>
            <w:pPr>
              <w:pStyle w:val="47"/>
            </w:pPr>
          </w:p>
        </w:tc>
        <w:tc>
          <w:tcPr>
            <w:tcW w:w="2951" w:type="dxa"/>
            <w:vAlign w:val="center"/>
          </w:tcPr>
          <w:p>
            <w:pPr>
              <w:pStyle w:val="47"/>
            </w:pPr>
          </w:p>
        </w:tc>
        <w:tc>
          <w:tcPr>
            <w:tcW w:w="764" w:type="dxa"/>
            <w:vAlign w:val="center"/>
          </w:tcPr>
          <w:p>
            <w:pPr>
              <w:pStyle w:val="47"/>
            </w:pPr>
          </w:p>
        </w:tc>
        <w:tc>
          <w:tcPr>
            <w:tcW w:w="286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减顶水泵</w:t>
            </w:r>
          </w:p>
        </w:tc>
        <w:tc>
          <w:tcPr>
            <w:tcW w:w="330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LZA25-200</w:t>
            </w:r>
          </w:p>
        </w:tc>
        <w:tc>
          <w:tcPr>
            <w:tcW w:w="762"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四</w:t>
            </w:r>
          </w:p>
        </w:tc>
        <w:tc>
          <w:tcPr>
            <w:tcW w:w="6245" w:type="dxa"/>
            <w:gridSpan w:val="3"/>
            <w:vAlign w:val="center"/>
          </w:tcPr>
          <w:p>
            <w:pPr>
              <w:pStyle w:val="47"/>
            </w:pPr>
            <w:r>
              <w:t>冷换设备类</w:t>
            </w:r>
          </w:p>
        </w:tc>
        <w:tc>
          <w:tcPr>
            <w:tcW w:w="6938" w:type="dxa"/>
            <w:gridSpan w:val="3"/>
          </w:tcPr>
          <w:p>
            <w:pPr>
              <w:pStyle w:val="47"/>
            </w:pPr>
            <w:r>
              <w:t>冷换设备类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1</w:t>
            </w:r>
          </w:p>
        </w:tc>
        <w:tc>
          <w:tcPr>
            <w:tcW w:w="2530" w:type="dxa"/>
            <w:vAlign w:val="center"/>
          </w:tcPr>
          <w:p>
            <w:pPr>
              <w:pStyle w:val="47"/>
            </w:pPr>
            <w:r>
              <w:t>减压塔顶空冷器</w:t>
            </w:r>
          </w:p>
        </w:tc>
        <w:tc>
          <w:tcPr>
            <w:tcW w:w="2951" w:type="dxa"/>
            <w:vAlign w:val="center"/>
          </w:tcPr>
          <w:p>
            <w:pPr>
              <w:pStyle w:val="47"/>
            </w:pPr>
            <w:r>
              <w:t>/</w:t>
            </w:r>
          </w:p>
        </w:tc>
        <w:tc>
          <w:tcPr>
            <w:tcW w:w="764" w:type="dxa"/>
            <w:vAlign w:val="center"/>
          </w:tcPr>
          <w:p>
            <w:pPr>
              <w:pStyle w:val="47"/>
            </w:pPr>
            <w:r>
              <w:t>1</w:t>
            </w:r>
          </w:p>
        </w:tc>
        <w:tc>
          <w:tcPr>
            <w:tcW w:w="2868" w:type="dxa"/>
            <w:vAlign w:val="center"/>
          </w:tcPr>
          <w:p>
            <w:pPr>
              <w:pStyle w:val="47"/>
            </w:pPr>
            <w:r>
              <w:t xml:space="preserve">减顶循-原料油换热器 </w:t>
            </w:r>
          </w:p>
        </w:tc>
        <w:tc>
          <w:tcPr>
            <w:tcW w:w="3308" w:type="dxa"/>
            <w:vAlign w:val="center"/>
          </w:tcPr>
          <w:p>
            <w:pPr>
              <w:pStyle w:val="47"/>
            </w:pPr>
            <w:r>
              <w:t>BES1000-2.5-260-6/25-6</w:t>
            </w:r>
            <w:r>
              <w:rPr>
                <w:rFonts w:hint="eastAsia" w:ascii="宋体" w:hAnsi="宋体" w:cs="宋体"/>
              </w:rPr>
              <w:t>Ⅰ</w:t>
            </w:r>
          </w:p>
        </w:tc>
        <w:tc>
          <w:tcPr>
            <w:tcW w:w="762" w:type="dxa"/>
            <w:vAlign w:val="center"/>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2</w:t>
            </w:r>
          </w:p>
        </w:tc>
        <w:tc>
          <w:tcPr>
            <w:tcW w:w="2530" w:type="dxa"/>
            <w:vAlign w:val="center"/>
          </w:tcPr>
          <w:p>
            <w:pPr>
              <w:pStyle w:val="47"/>
            </w:pPr>
            <w:r>
              <w:t>减压塔顶冷却器</w:t>
            </w:r>
          </w:p>
        </w:tc>
        <w:tc>
          <w:tcPr>
            <w:tcW w:w="2951" w:type="dxa"/>
            <w:vAlign w:val="center"/>
          </w:tcPr>
          <w:p>
            <w:pPr>
              <w:pStyle w:val="47"/>
            </w:pPr>
            <w:r>
              <w:t>AES400-2.5-25-4.5/25-4II</w:t>
            </w:r>
          </w:p>
        </w:tc>
        <w:tc>
          <w:tcPr>
            <w:tcW w:w="764" w:type="dxa"/>
            <w:vAlign w:val="center"/>
          </w:tcPr>
          <w:p>
            <w:pPr>
              <w:pStyle w:val="47"/>
            </w:pPr>
            <w:r>
              <w:t>1</w:t>
            </w:r>
          </w:p>
        </w:tc>
        <w:tc>
          <w:tcPr>
            <w:tcW w:w="2868" w:type="dxa"/>
            <w:vAlign w:val="center"/>
          </w:tcPr>
          <w:p>
            <w:pPr>
              <w:pStyle w:val="47"/>
            </w:pPr>
            <w:r>
              <w:t xml:space="preserve">减二线-原料油换热器 </w:t>
            </w:r>
          </w:p>
        </w:tc>
        <w:tc>
          <w:tcPr>
            <w:tcW w:w="3308" w:type="dxa"/>
            <w:vAlign w:val="center"/>
          </w:tcPr>
          <w:p>
            <w:pPr>
              <w:pStyle w:val="47"/>
            </w:pPr>
            <w:r>
              <w:t>BES700-2.5-105-6/25-6</w:t>
            </w:r>
            <w:r>
              <w:rPr>
                <w:rFonts w:hint="eastAsia" w:ascii="宋体" w:hAnsi="宋体" w:cs="宋体"/>
              </w:rPr>
              <w:t>Ⅰ</w:t>
            </w:r>
          </w:p>
        </w:tc>
        <w:tc>
          <w:tcPr>
            <w:tcW w:w="762" w:type="dxa"/>
            <w:vAlign w:val="center"/>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3</w:t>
            </w:r>
          </w:p>
        </w:tc>
        <w:tc>
          <w:tcPr>
            <w:tcW w:w="2530" w:type="dxa"/>
            <w:vAlign w:val="center"/>
          </w:tcPr>
          <w:p>
            <w:pPr>
              <w:pStyle w:val="47"/>
            </w:pPr>
            <w:r>
              <w:t>减一线产品冷却器</w:t>
            </w:r>
          </w:p>
        </w:tc>
        <w:tc>
          <w:tcPr>
            <w:tcW w:w="2951" w:type="dxa"/>
            <w:vAlign w:val="center"/>
          </w:tcPr>
          <w:p>
            <w:pPr>
              <w:pStyle w:val="47"/>
            </w:pPr>
            <w:r>
              <w:t>AES400-2.5-30-6/25-4II</w:t>
            </w:r>
          </w:p>
        </w:tc>
        <w:tc>
          <w:tcPr>
            <w:tcW w:w="764" w:type="dxa"/>
            <w:vAlign w:val="center"/>
          </w:tcPr>
          <w:p>
            <w:pPr>
              <w:pStyle w:val="47"/>
            </w:pPr>
            <w:r>
              <w:t>1</w:t>
            </w:r>
          </w:p>
        </w:tc>
        <w:tc>
          <w:tcPr>
            <w:tcW w:w="2868" w:type="dxa"/>
            <w:vAlign w:val="center"/>
          </w:tcPr>
          <w:p>
            <w:pPr>
              <w:pStyle w:val="47"/>
            </w:pPr>
            <w:r>
              <w:t>减底油-原料油换热器</w:t>
            </w:r>
          </w:p>
        </w:tc>
        <w:tc>
          <w:tcPr>
            <w:tcW w:w="3308" w:type="dxa"/>
            <w:vAlign w:val="center"/>
          </w:tcPr>
          <w:p>
            <w:pPr>
              <w:pStyle w:val="47"/>
            </w:pPr>
            <w:r>
              <w:t>BES600-2.5-75-6/25-6</w:t>
            </w:r>
            <w:r>
              <w:rPr>
                <w:rFonts w:hint="eastAsia" w:ascii="宋体" w:hAnsi="宋体" w:cs="宋体"/>
              </w:rPr>
              <w:t>Ⅰ</w:t>
            </w:r>
          </w:p>
        </w:tc>
        <w:tc>
          <w:tcPr>
            <w:tcW w:w="762" w:type="dxa"/>
            <w:vAlign w:val="center"/>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4</w:t>
            </w:r>
          </w:p>
        </w:tc>
        <w:tc>
          <w:tcPr>
            <w:tcW w:w="2530" w:type="dxa"/>
            <w:vAlign w:val="center"/>
          </w:tcPr>
          <w:p>
            <w:pPr>
              <w:pStyle w:val="47"/>
            </w:pPr>
            <w:r>
              <w:t>减二线产品换热器</w:t>
            </w:r>
          </w:p>
        </w:tc>
        <w:tc>
          <w:tcPr>
            <w:tcW w:w="2951" w:type="dxa"/>
            <w:vAlign w:val="center"/>
          </w:tcPr>
          <w:p>
            <w:pPr>
              <w:pStyle w:val="47"/>
            </w:pPr>
            <w:r>
              <w:t>AKU400-2.5-50-6/19-4II</w:t>
            </w:r>
          </w:p>
        </w:tc>
        <w:tc>
          <w:tcPr>
            <w:tcW w:w="764" w:type="dxa"/>
            <w:vAlign w:val="center"/>
          </w:tcPr>
          <w:p>
            <w:pPr>
              <w:pStyle w:val="47"/>
            </w:pPr>
            <w:r>
              <w:t>1</w:t>
            </w:r>
          </w:p>
        </w:tc>
        <w:tc>
          <w:tcPr>
            <w:tcW w:w="2868" w:type="dxa"/>
            <w:vAlign w:val="center"/>
          </w:tcPr>
          <w:p>
            <w:pPr>
              <w:pStyle w:val="47"/>
            </w:pPr>
            <w:r>
              <w:t>减四线</w:t>
            </w:r>
            <w:r>
              <w:rPr>
                <w:rFonts w:hint="eastAsia" w:ascii="宋体" w:hAnsi="宋体" w:cs="宋体"/>
              </w:rPr>
              <w:t>Ⅱ</w:t>
            </w:r>
            <w:r>
              <w:t>-原料油换热器</w:t>
            </w:r>
          </w:p>
        </w:tc>
        <w:tc>
          <w:tcPr>
            <w:tcW w:w="3308" w:type="dxa"/>
            <w:vAlign w:val="center"/>
          </w:tcPr>
          <w:p>
            <w:pPr>
              <w:pStyle w:val="47"/>
            </w:pPr>
            <w:r>
              <w:t>BES500-2.5-55-6/25-4</w:t>
            </w:r>
            <w:r>
              <w:rPr>
                <w:rFonts w:hint="eastAsia" w:ascii="宋体" w:hAnsi="宋体" w:cs="宋体"/>
              </w:rPr>
              <w:t>Ⅰ</w:t>
            </w:r>
          </w:p>
        </w:tc>
        <w:tc>
          <w:tcPr>
            <w:tcW w:w="762" w:type="dxa"/>
            <w:vAlign w:val="center"/>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5</w:t>
            </w:r>
          </w:p>
        </w:tc>
        <w:tc>
          <w:tcPr>
            <w:tcW w:w="2530" w:type="dxa"/>
            <w:vAlign w:val="center"/>
          </w:tcPr>
          <w:p>
            <w:pPr>
              <w:pStyle w:val="47"/>
            </w:pPr>
            <w:r>
              <w:t>减三线产品换热器</w:t>
            </w:r>
          </w:p>
        </w:tc>
        <w:tc>
          <w:tcPr>
            <w:tcW w:w="2951" w:type="dxa"/>
            <w:vAlign w:val="center"/>
          </w:tcPr>
          <w:p>
            <w:pPr>
              <w:pStyle w:val="47"/>
            </w:pPr>
            <w:r>
              <w:t>BKU500-2.5-75-6/19-4II</w:t>
            </w:r>
          </w:p>
        </w:tc>
        <w:tc>
          <w:tcPr>
            <w:tcW w:w="764" w:type="dxa"/>
            <w:vAlign w:val="center"/>
          </w:tcPr>
          <w:p>
            <w:pPr>
              <w:pStyle w:val="47"/>
            </w:pPr>
            <w:r>
              <w:t>1</w:t>
            </w:r>
          </w:p>
        </w:tc>
        <w:tc>
          <w:tcPr>
            <w:tcW w:w="2868" w:type="dxa"/>
            <w:vAlign w:val="center"/>
          </w:tcPr>
          <w:p>
            <w:pPr>
              <w:pStyle w:val="47"/>
            </w:pPr>
            <w:r>
              <w:t>减三线</w:t>
            </w:r>
            <w:r>
              <w:rPr>
                <w:rFonts w:hint="eastAsia" w:ascii="宋体" w:hAnsi="宋体" w:cs="宋体"/>
              </w:rPr>
              <w:t>Ⅱ</w:t>
            </w:r>
            <w:r>
              <w:t>-原料油换热器</w:t>
            </w:r>
          </w:p>
        </w:tc>
        <w:tc>
          <w:tcPr>
            <w:tcW w:w="3308" w:type="dxa"/>
            <w:vAlign w:val="center"/>
          </w:tcPr>
          <w:p>
            <w:pPr>
              <w:pStyle w:val="47"/>
            </w:pPr>
            <w:r>
              <w:t>BES700-2.5-105-6/25-6</w:t>
            </w:r>
            <w:r>
              <w:rPr>
                <w:rFonts w:hint="eastAsia" w:ascii="宋体" w:hAnsi="宋体" w:cs="宋体"/>
              </w:rPr>
              <w:t>Ⅰ</w:t>
            </w:r>
          </w:p>
        </w:tc>
        <w:tc>
          <w:tcPr>
            <w:tcW w:w="762" w:type="dxa"/>
            <w:vAlign w:val="center"/>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6</w:t>
            </w:r>
          </w:p>
        </w:tc>
        <w:tc>
          <w:tcPr>
            <w:tcW w:w="2530" w:type="dxa"/>
            <w:vAlign w:val="center"/>
          </w:tcPr>
          <w:p>
            <w:pPr>
              <w:pStyle w:val="47"/>
            </w:pPr>
            <w:r>
              <w:t>减压塔底产品换热器</w:t>
            </w:r>
          </w:p>
        </w:tc>
        <w:tc>
          <w:tcPr>
            <w:tcW w:w="2951" w:type="dxa"/>
            <w:vAlign w:val="center"/>
          </w:tcPr>
          <w:p>
            <w:pPr>
              <w:pStyle w:val="47"/>
            </w:pPr>
            <w:r>
              <w:t>AES400-2.5-30-6/25-4II</w:t>
            </w:r>
          </w:p>
        </w:tc>
        <w:tc>
          <w:tcPr>
            <w:tcW w:w="764" w:type="dxa"/>
            <w:vAlign w:val="center"/>
          </w:tcPr>
          <w:p>
            <w:pPr>
              <w:pStyle w:val="47"/>
            </w:pPr>
            <w:r>
              <w:t>1</w:t>
            </w:r>
          </w:p>
        </w:tc>
        <w:tc>
          <w:tcPr>
            <w:tcW w:w="2868" w:type="dxa"/>
            <w:vAlign w:val="center"/>
          </w:tcPr>
          <w:p>
            <w:pPr>
              <w:pStyle w:val="47"/>
            </w:pPr>
            <w:r>
              <w:t>减二中-原料油换热器</w:t>
            </w:r>
          </w:p>
        </w:tc>
        <w:tc>
          <w:tcPr>
            <w:tcW w:w="3308" w:type="dxa"/>
            <w:vAlign w:val="center"/>
          </w:tcPr>
          <w:p>
            <w:pPr>
              <w:pStyle w:val="47"/>
            </w:pPr>
            <w:r>
              <w:t>BES1200-2.5-380-6/25-6</w:t>
            </w:r>
            <w:r>
              <w:rPr>
                <w:rFonts w:hint="eastAsia" w:ascii="宋体" w:hAnsi="宋体" w:cs="宋体"/>
              </w:rPr>
              <w:t>Ⅰ</w:t>
            </w:r>
          </w:p>
        </w:tc>
        <w:tc>
          <w:tcPr>
            <w:tcW w:w="762" w:type="dxa"/>
            <w:vAlign w:val="bottom"/>
          </w:tcPr>
          <w:p>
            <w:pPr>
              <w:pStyle w:val="47"/>
            </w:pPr>
            <w: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7</w:t>
            </w:r>
          </w:p>
        </w:tc>
        <w:tc>
          <w:tcPr>
            <w:tcW w:w="2530" w:type="dxa"/>
            <w:vAlign w:val="center"/>
          </w:tcPr>
          <w:p>
            <w:pPr>
              <w:pStyle w:val="47"/>
            </w:pPr>
            <w:r>
              <w:t>减底油水冷器</w:t>
            </w:r>
          </w:p>
        </w:tc>
        <w:tc>
          <w:tcPr>
            <w:tcW w:w="2951" w:type="dxa"/>
            <w:vAlign w:val="center"/>
          </w:tcPr>
          <w:p>
            <w:pPr>
              <w:pStyle w:val="47"/>
            </w:pPr>
            <w:r>
              <w:t>BES400-2.5-30-6/25-4II</w:t>
            </w:r>
          </w:p>
        </w:tc>
        <w:tc>
          <w:tcPr>
            <w:tcW w:w="764" w:type="dxa"/>
            <w:vAlign w:val="center"/>
          </w:tcPr>
          <w:p>
            <w:pPr>
              <w:pStyle w:val="47"/>
            </w:pPr>
            <w:r>
              <w:t>1</w:t>
            </w:r>
          </w:p>
        </w:tc>
        <w:tc>
          <w:tcPr>
            <w:tcW w:w="2868" w:type="dxa"/>
            <w:vAlign w:val="center"/>
          </w:tcPr>
          <w:p>
            <w:pPr>
              <w:pStyle w:val="47"/>
            </w:pPr>
            <w:r>
              <w:t>减三线</w:t>
            </w:r>
            <w:r>
              <w:rPr>
                <w:rFonts w:hint="eastAsia" w:ascii="宋体" w:hAnsi="宋体" w:cs="宋体"/>
              </w:rPr>
              <w:t>Ⅰ</w:t>
            </w:r>
            <w:r>
              <w:t>-原料油换热器</w:t>
            </w:r>
          </w:p>
        </w:tc>
        <w:tc>
          <w:tcPr>
            <w:tcW w:w="3308" w:type="dxa"/>
            <w:vAlign w:val="center"/>
          </w:tcPr>
          <w:p>
            <w:pPr>
              <w:pStyle w:val="47"/>
            </w:pPr>
            <w:r>
              <w:t>BES800-2.5-145-6/25-6</w:t>
            </w:r>
            <w:r>
              <w:rPr>
                <w:rFonts w:hint="eastAsia" w:ascii="宋体" w:hAnsi="宋体" w:cs="宋体"/>
              </w:rPr>
              <w:t>Ⅰ</w:t>
            </w:r>
          </w:p>
        </w:tc>
        <w:tc>
          <w:tcPr>
            <w:tcW w:w="762" w:type="dxa"/>
            <w:vAlign w:val="bottom"/>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8</w:t>
            </w:r>
          </w:p>
        </w:tc>
        <w:tc>
          <w:tcPr>
            <w:tcW w:w="2530" w:type="dxa"/>
            <w:vAlign w:val="center"/>
          </w:tcPr>
          <w:p>
            <w:pPr>
              <w:pStyle w:val="47"/>
            </w:pPr>
            <w:r>
              <w:t>减二线产品冷却器</w:t>
            </w:r>
          </w:p>
        </w:tc>
        <w:tc>
          <w:tcPr>
            <w:tcW w:w="2951" w:type="dxa"/>
            <w:vAlign w:val="center"/>
          </w:tcPr>
          <w:p>
            <w:pPr>
              <w:pStyle w:val="47"/>
            </w:pPr>
            <w:r>
              <w:t>AES400-2.5-30-6/25-4II</w:t>
            </w:r>
          </w:p>
        </w:tc>
        <w:tc>
          <w:tcPr>
            <w:tcW w:w="764" w:type="dxa"/>
            <w:vAlign w:val="center"/>
          </w:tcPr>
          <w:p>
            <w:pPr>
              <w:pStyle w:val="47"/>
            </w:pPr>
            <w:r>
              <w:t>1</w:t>
            </w:r>
          </w:p>
        </w:tc>
        <w:tc>
          <w:tcPr>
            <w:tcW w:w="2868" w:type="dxa"/>
            <w:vAlign w:val="center"/>
          </w:tcPr>
          <w:p>
            <w:pPr>
              <w:pStyle w:val="47"/>
            </w:pPr>
            <w:r>
              <w:t>减四线</w:t>
            </w:r>
            <w:r>
              <w:rPr>
                <w:rFonts w:hint="eastAsia" w:ascii="宋体" w:hAnsi="宋体" w:cs="宋体"/>
              </w:rPr>
              <w:t>Ⅰ</w:t>
            </w:r>
            <w:r>
              <w:t>-原料油换热器</w:t>
            </w:r>
          </w:p>
        </w:tc>
        <w:tc>
          <w:tcPr>
            <w:tcW w:w="3308" w:type="dxa"/>
            <w:vAlign w:val="center"/>
          </w:tcPr>
          <w:p>
            <w:pPr>
              <w:pStyle w:val="47"/>
            </w:pPr>
            <w:r>
              <w:t>BES600-2.5-75-6/25-6</w:t>
            </w:r>
            <w:r>
              <w:rPr>
                <w:rFonts w:hint="eastAsia" w:ascii="宋体" w:hAnsi="宋体" w:cs="宋体"/>
              </w:rPr>
              <w:t>Ⅰ</w:t>
            </w:r>
          </w:p>
        </w:tc>
        <w:tc>
          <w:tcPr>
            <w:tcW w:w="762" w:type="dxa"/>
            <w:vAlign w:val="bottom"/>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9</w:t>
            </w:r>
          </w:p>
        </w:tc>
        <w:tc>
          <w:tcPr>
            <w:tcW w:w="2530" w:type="dxa"/>
            <w:vAlign w:val="center"/>
          </w:tcPr>
          <w:p>
            <w:pPr>
              <w:pStyle w:val="47"/>
            </w:pPr>
            <w:r>
              <w:t>减三线产品冷却器</w:t>
            </w:r>
          </w:p>
        </w:tc>
        <w:tc>
          <w:tcPr>
            <w:tcW w:w="2951" w:type="dxa"/>
            <w:vAlign w:val="center"/>
          </w:tcPr>
          <w:p>
            <w:pPr>
              <w:pStyle w:val="47"/>
            </w:pPr>
            <w:r>
              <w:t>AES400-2.5-30-6/25-4II</w:t>
            </w:r>
          </w:p>
        </w:tc>
        <w:tc>
          <w:tcPr>
            <w:tcW w:w="764" w:type="dxa"/>
            <w:vAlign w:val="center"/>
          </w:tcPr>
          <w:p>
            <w:pPr>
              <w:pStyle w:val="47"/>
            </w:pPr>
            <w:r>
              <w:t>1</w:t>
            </w:r>
          </w:p>
        </w:tc>
        <w:tc>
          <w:tcPr>
            <w:tcW w:w="2868" w:type="dxa"/>
            <w:vAlign w:val="center"/>
          </w:tcPr>
          <w:p>
            <w:pPr>
              <w:pStyle w:val="47"/>
            </w:pPr>
            <w:r>
              <w:t>减三中</w:t>
            </w:r>
            <w:r>
              <w:rPr>
                <w:rFonts w:hint="eastAsia" w:ascii="宋体" w:hAnsi="宋体" w:cs="宋体"/>
              </w:rPr>
              <w:t>Ⅱ</w:t>
            </w:r>
            <w:r>
              <w:t>-原料油换热器</w:t>
            </w:r>
          </w:p>
        </w:tc>
        <w:tc>
          <w:tcPr>
            <w:tcW w:w="3308" w:type="dxa"/>
            <w:vAlign w:val="center"/>
          </w:tcPr>
          <w:p>
            <w:pPr>
              <w:pStyle w:val="47"/>
            </w:pPr>
            <w:r>
              <w:t>BES600-2.5-85-6/25-4</w:t>
            </w:r>
            <w:r>
              <w:rPr>
                <w:rFonts w:hint="eastAsia" w:ascii="宋体" w:hAnsi="宋体" w:cs="宋体"/>
              </w:rPr>
              <w:t>Ⅰ</w:t>
            </w:r>
          </w:p>
        </w:tc>
        <w:tc>
          <w:tcPr>
            <w:tcW w:w="762" w:type="dxa"/>
            <w:vAlign w:val="bottom"/>
          </w:tcPr>
          <w:p>
            <w:pPr>
              <w:pStyle w:val="47"/>
            </w:pPr>
            <w: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10</w:t>
            </w:r>
          </w:p>
        </w:tc>
        <w:tc>
          <w:tcPr>
            <w:tcW w:w="2530" w:type="dxa"/>
            <w:vAlign w:val="center"/>
          </w:tcPr>
          <w:p>
            <w:pPr>
              <w:pStyle w:val="47"/>
            </w:pPr>
            <w:r>
              <w:t>减压塔底产品冷却器</w:t>
            </w:r>
          </w:p>
        </w:tc>
        <w:tc>
          <w:tcPr>
            <w:tcW w:w="2951" w:type="dxa"/>
            <w:vAlign w:val="center"/>
          </w:tcPr>
          <w:p>
            <w:pPr>
              <w:pStyle w:val="47"/>
            </w:pPr>
            <w:r>
              <w:t>AES400-2.5-30-6/25-4II</w:t>
            </w:r>
          </w:p>
        </w:tc>
        <w:tc>
          <w:tcPr>
            <w:tcW w:w="764" w:type="dxa"/>
            <w:vAlign w:val="center"/>
          </w:tcPr>
          <w:p>
            <w:pPr>
              <w:pStyle w:val="47"/>
            </w:pPr>
            <w:r>
              <w:t>1</w:t>
            </w:r>
          </w:p>
        </w:tc>
        <w:tc>
          <w:tcPr>
            <w:tcW w:w="2868" w:type="dxa"/>
            <w:vAlign w:val="center"/>
          </w:tcPr>
          <w:p>
            <w:pPr>
              <w:pStyle w:val="47"/>
            </w:pPr>
            <w:r>
              <w:t>减三中</w:t>
            </w:r>
            <w:r>
              <w:rPr>
                <w:rFonts w:hint="eastAsia" w:ascii="宋体" w:hAnsi="宋体" w:cs="宋体"/>
              </w:rPr>
              <w:t>Ⅰ</w:t>
            </w:r>
            <w:r>
              <w:t>-原料油换热器</w:t>
            </w:r>
          </w:p>
        </w:tc>
        <w:tc>
          <w:tcPr>
            <w:tcW w:w="3308" w:type="dxa"/>
            <w:vAlign w:val="center"/>
          </w:tcPr>
          <w:p>
            <w:pPr>
              <w:pStyle w:val="47"/>
            </w:pPr>
            <w:r>
              <w:t>BES500-2.5-55-6/25-4</w:t>
            </w:r>
            <w:r>
              <w:rPr>
                <w:rFonts w:hint="eastAsia" w:ascii="宋体" w:hAnsi="宋体" w:cs="宋体"/>
              </w:rPr>
              <w:t>Ⅰ</w:t>
            </w:r>
          </w:p>
        </w:tc>
        <w:tc>
          <w:tcPr>
            <w:tcW w:w="762" w:type="dxa"/>
            <w:vAlign w:val="bottom"/>
          </w:tcPr>
          <w:p>
            <w:pPr>
              <w:pStyle w:val="47"/>
            </w:pPr>
            <w: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p>
        </w:tc>
        <w:tc>
          <w:tcPr>
            <w:tcW w:w="2530" w:type="dxa"/>
            <w:vAlign w:val="center"/>
          </w:tcPr>
          <w:p>
            <w:pPr>
              <w:pStyle w:val="47"/>
            </w:pPr>
          </w:p>
        </w:tc>
        <w:tc>
          <w:tcPr>
            <w:tcW w:w="2951" w:type="dxa"/>
            <w:vAlign w:val="center"/>
          </w:tcPr>
          <w:p>
            <w:pPr>
              <w:pStyle w:val="47"/>
            </w:pPr>
          </w:p>
        </w:tc>
        <w:tc>
          <w:tcPr>
            <w:tcW w:w="764" w:type="dxa"/>
            <w:vAlign w:val="center"/>
          </w:tcPr>
          <w:p>
            <w:pPr>
              <w:pStyle w:val="47"/>
            </w:pPr>
          </w:p>
        </w:tc>
        <w:tc>
          <w:tcPr>
            <w:tcW w:w="2868" w:type="dxa"/>
            <w:vAlign w:val="center"/>
          </w:tcPr>
          <w:p>
            <w:pPr>
              <w:pStyle w:val="47"/>
            </w:pPr>
            <w:r>
              <w:t>减四中-原料油换热器</w:t>
            </w:r>
          </w:p>
        </w:tc>
        <w:tc>
          <w:tcPr>
            <w:tcW w:w="3308" w:type="dxa"/>
            <w:vAlign w:val="center"/>
          </w:tcPr>
          <w:p>
            <w:pPr>
              <w:pStyle w:val="47"/>
            </w:pPr>
            <w:r>
              <w:t>BES700-2.5-105-6/25-6</w:t>
            </w:r>
            <w:r>
              <w:rPr>
                <w:rFonts w:hint="eastAsia" w:ascii="宋体" w:hAnsi="宋体" w:cs="宋体"/>
              </w:rPr>
              <w:t>Ⅰ</w:t>
            </w:r>
          </w:p>
        </w:tc>
        <w:tc>
          <w:tcPr>
            <w:tcW w:w="762" w:type="dxa"/>
            <w:vAlign w:val="bottom"/>
          </w:tcPr>
          <w:p>
            <w:pPr>
              <w:pStyle w:val="47"/>
            </w:pPr>
            <w: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p>
        </w:tc>
        <w:tc>
          <w:tcPr>
            <w:tcW w:w="2530" w:type="dxa"/>
            <w:vAlign w:val="center"/>
          </w:tcPr>
          <w:p>
            <w:pPr>
              <w:pStyle w:val="47"/>
            </w:pPr>
          </w:p>
        </w:tc>
        <w:tc>
          <w:tcPr>
            <w:tcW w:w="2951" w:type="dxa"/>
            <w:vAlign w:val="center"/>
          </w:tcPr>
          <w:p>
            <w:pPr>
              <w:pStyle w:val="47"/>
            </w:pPr>
          </w:p>
        </w:tc>
        <w:tc>
          <w:tcPr>
            <w:tcW w:w="764" w:type="dxa"/>
            <w:vAlign w:val="center"/>
          </w:tcPr>
          <w:p>
            <w:pPr>
              <w:pStyle w:val="47"/>
            </w:pPr>
          </w:p>
        </w:tc>
        <w:tc>
          <w:tcPr>
            <w:tcW w:w="2868" w:type="dxa"/>
            <w:vAlign w:val="center"/>
          </w:tcPr>
          <w:p>
            <w:pPr>
              <w:pStyle w:val="47"/>
            </w:pPr>
            <w:r>
              <w:t>减顶油冷却器</w:t>
            </w:r>
          </w:p>
        </w:tc>
        <w:tc>
          <w:tcPr>
            <w:tcW w:w="3308" w:type="dxa"/>
            <w:vAlign w:val="center"/>
          </w:tcPr>
          <w:p>
            <w:pPr>
              <w:pStyle w:val="47"/>
            </w:pPr>
            <w:r>
              <w:t>BES900-2.5-195-6/25-6</w:t>
            </w:r>
            <w:r>
              <w:rPr>
                <w:rFonts w:hint="eastAsia" w:ascii="宋体" w:hAnsi="宋体" w:cs="宋体"/>
              </w:rPr>
              <w:t>Ⅰ</w:t>
            </w:r>
          </w:p>
        </w:tc>
        <w:tc>
          <w:tcPr>
            <w:tcW w:w="762" w:type="dxa"/>
            <w:vAlign w:val="bottom"/>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p>
        </w:tc>
        <w:tc>
          <w:tcPr>
            <w:tcW w:w="2530" w:type="dxa"/>
            <w:vAlign w:val="center"/>
          </w:tcPr>
          <w:p>
            <w:pPr>
              <w:pStyle w:val="47"/>
            </w:pPr>
          </w:p>
        </w:tc>
        <w:tc>
          <w:tcPr>
            <w:tcW w:w="2951" w:type="dxa"/>
            <w:vAlign w:val="center"/>
          </w:tcPr>
          <w:p>
            <w:pPr>
              <w:pStyle w:val="47"/>
            </w:pPr>
          </w:p>
        </w:tc>
        <w:tc>
          <w:tcPr>
            <w:tcW w:w="764" w:type="dxa"/>
            <w:vAlign w:val="center"/>
          </w:tcPr>
          <w:p>
            <w:pPr>
              <w:pStyle w:val="47"/>
            </w:pPr>
          </w:p>
        </w:tc>
        <w:tc>
          <w:tcPr>
            <w:tcW w:w="2868" w:type="dxa"/>
            <w:vAlign w:val="center"/>
          </w:tcPr>
          <w:p>
            <w:pPr>
              <w:pStyle w:val="47"/>
            </w:pPr>
            <w:r>
              <w:t>减二线油冷却器</w:t>
            </w:r>
          </w:p>
        </w:tc>
        <w:tc>
          <w:tcPr>
            <w:tcW w:w="3308" w:type="dxa"/>
            <w:vAlign w:val="center"/>
          </w:tcPr>
          <w:p>
            <w:pPr>
              <w:pStyle w:val="47"/>
            </w:pPr>
            <w:r>
              <w:t>AES500-2.5-55-6/25-4</w:t>
            </w:r>
            <w:r>
              <w:rPr>
                <w:rFonts w:hint="eastAsia" w:ascii="宋体" w:hAnsi="宋体" w:cs="宋体"/>
              </w:rPr>
              <w:t>Ⅰ</w:t>
            </w:r>
          </w:p>
        </w:tc>
        <w:tc>
          <w:tcPr>
            <w:tcW w:w="762" w:type="dxa"/>
            <w:vAlign w:val="bottom"/>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p>
        </w:tc>
        <w:tc>
          <w:tcPr>
            <w:tcW w:w="2530" w:type="dxa"/>
            <w:vAlign w:val="center"/>
          </w:tcPr>
          <w:p>
            <w:pPr>
              <w:pStyle w:val="47"/>
            </w:pPr>
          </w:p>
        </w:tc>
        <w:tc>
          <w:tcPr>
            <w:tcW w:w="2951" w:type="dxa"/>
            <w:vAlign w:val="center"/>
          </w:tcPr>
          <w:p>
            <w:pPr>
              <w:pStyle w:val="47"/>
            </w:pPr>
          </w:p>
        </w:tc>
        <w:tc>
          <w:tcPr>
            <w:tcW w:w="764" w:type="dxa"/>
            <w:vAlign w:val="center"/>
          </w:tcPr>
          <w:p>
            <w:pPr>
              <w:pStyle w:val="47"/>
            </w:pPr>
          </w:p>
        </w:tc>
        <w:tc>
          <w:tcPr>
            <w:tcW w:w="2868" w:type="dxa"/>
            <w:vAlign w:val="center"/>
          </w:tcPr>
          <w:p>
            <w:pPr>
              <w:pStyle w:val="47"/>
            </w:pPr>
            <w:r>
              <w:t>减底油冷却器</w:t>
            </w:r>
          </w:p>
        </w:tc>
        <w:tc>
          <w:tcPr>
            <w:tcW w:w="3308" w:type="dxa"/>
            <w:vAlign w:val="center"/>
          </w:tcPr>
          <w:p>
            <w:pPr>
              <w:pStyle w:val="47"/>
            </w:pPr>
            <w:r>
              <w:t>AES600-2.5-75-6/25-6</w:t>
            </w:r>
            <w:r>
              <w:rPr>
                <w:rFonts w:hint="eastAsia" w:ascii="宋体" w:hAnsi="宋体" w:cs="宋体"/>
              </w:rPr>
              <w:t>Ⅰ</w:t>
            </w:r>
          </w:p>
        </w:tc>
        <w:tc>
          <w:tcPr>
            <w:tcW w:w="762" w:type="dxa"/>
            <w:vAlign w:val="bottom"/>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p>
        </w:tc>
        <w:tc>
          <w:tcPr>
            <w:tcW w:w="2530" w:type="dxa"/>
            <w:vAlign w:val="center"/>
          </w:tcPr>
          <w:p>
            <w:pPr>
              <w:pStyle w:val="47"/>
            </w:pPr>
          </w:p>
        </w:tc>
        <w:tc>
          <w:tcPr>
            <w:tcW w:w="2951" w:type="dxa"/>
            <w:vAlign w:val="center"/>
          </w:tcPr>
          <w:p>
            <w:pPr>
              <w:pStyle w:val="47"/>
            </w:pPr>
          </w:p>
        </w:tc>
        <w:tc>
          <w:tcPr>
            <w:tcW w:w="764" w:type="dxa"/>
            <w:vAlign w:val="center"/>
          </w:tcPr>
          <w:p>
            <w:pPr>
              <w:pStyle w:val="47"/>
            </w:pPr>
          </w:p>
        </w:tc>
        <w:tc>
          <w:tcPr>
            <w:tcW w:w="2868" w:type="dxa"/>
            <w:vAlign w:val="center"/>
          </w:tcPr>
          <w:p>
            <w:pPr>
              <w:pStyle w:val="47"/>
            </w:pPr>
            <w:r>
              <w:t>二级抽空冷凝器</w:t>
            </w:r>
          </w:p>
        </w:tc>
        <w:tc>
          <w:tcPr>
            <w:tcW w:w="3308" w:type="dxa"/>
            <w:vAlign w:val="center"/>
          </w:tcPr>
          <w:p>
            <w:pPr>
              <w:pStyle w:val="47"/>
            </w:pPr>
            <w:r>
              <w:t>AJS500-2.5-55-6/25-4</w:t>
            </w:r>
            <w:r>
              <w:rPr>
                <w:rFonts w:hint="eastAsia" w:ascii="宋体" w:hAnsi="宋体" w:cs="宋体"/>
              </w:rPr>
              <w:t>Ⅰ</w:t>
            </w:r>
          </w:p>
        </w:tc>
        <w:tc>
          <w:tcPr>
            <w:tcW w:w="762" w:type="dxa"/>
            <w:vAlign w:val="bottom"/>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p>
        </w:tc>
        <w:tc>
          <w:tcPr>
            <w:tcW w:w="2530" w:type="dxa"/>
            <w:vAlign w:val="center"/>
          </w:tcPr>
          <w:p>
            <w:pPr>
              <w:pStyle w:val="47"/>
            </w:pPr>
          </w:p>
        </w:tc>
        <w:tc>
          <w:tcPr>
            <w:tcW w:w="2951" w:type="dxa"/>
            <w:vAlign w:val="center"/>
          </w:tcPr>
          <w:p>
            <w:pPr>
              <w:pStyle w:val="47"/>
            </w:pPr>
          </w:p>
        </w:tc>
        <w:tc>
          <w:tcPr>
            <w:tcW w:w="764" w:type="dxa"/>
            <w:vAlign w:val="center"/>
          </w:tcPr>
          <w:p>
            <w:pPr>
              <w:pStyle w:val="47"/>
            </w:pPr>
          </w:p>
        </w:tc>
        <w:tc>
          <w:tcPr>
            <w:tcW w:w="2868" w:type="dxa"/>
            <w:vAlign w:val="center"/>
          </w:tcPr>
          <w:p>
            <w:pPr>
              <w:pStyle w:val="47"/>
            </w:pPr>
            <w:r>
              <w:t>三级抽空冷凝器</w:t>
            </w:r>
          </w:p>
        </w:tc>
        <w:tc>
          <w:tcPr>
            <w:tcW w:w="3308" w:type="dxa"/>
            <w:vAlign w:val="center"/>
          </w:tcPr>
          <w:p>
            <w:pPr>
              <w:pStyle w:val="47"/>
            </w:pPr>
            <w:r>
              <w:t>AJS500-2.5-55-6/25-4</w:t>
            </w:r>
            <w:r>
              <w:rPr>
                <w:rFonts w:hint="eastAsia" w:ascii="宋体" w:hAnsi="宋体" w:cs="宋体"/>
              </w:rPr>
              <w:t>Ⅰ</w:t>
            </w:r>
          </w:p>
        </w:tc>
        <w:tc>
          <w:tcPr>
            <w:tcW w:w="762" w:type="dxa"/>
            <w:vAlign w:val="bottom"/>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p>
        </w:tc>
        <w:tc>
          <w:tcPr>
            <w:tcW w:w="2530" w:type="dxa"/>
            <w:vAlign w:val="center"/>
          </w:tcPr>
          <w:p>
            <w:pPr>
              <w:pStyle w:val="47"/>
            </w:pPr>
          </w:p>
        </w:tc>
        <w:tc>
          <w:tcPr>
            <w:tcW w:w="2951" w:type="dxa"/>
            <w:vAlign w:val="center"/>
          </w:tcPr>
          <w:p>
            <w:pPr>
              <w:pStyle w:val="47"/>
            </w:pPr>
          </w:p>
        </w:tc>
        <w:tc>
          <w:tcPr>
            <w:tcW w:w="764" w:type="dxa"/>
            <w:vAlign w:val="center"/>
          </w:tcPr>
          <w:p>
            <w:pPr>
              <w:pStyle w:val="47"/>
            </w:pPr>
          </w:p>
        </w:tc>
        <w:tc>
          <w:tcPr>
            <w:tcW w:w="2868" w:type="dxa"/>
            <w:vAlign w:val="center"/>
          </w:tcPr>
          <w:p>
            <w:pPr>
              <w:pStyle w:val="47"/>
            </w:pPr>
            <w:r>
              <w:t>四级抽空冷凝器</w:t>
            </w:r>
          </w:p>
        </w:tc>
        <w:tc>
          <w:tcPr>
            <w:tcW w:w="3308" w:type="dxa"/>
            <w:vAlign w:val="center"/>
          </w:tcPr>
          <w:p>
            <w:pPr>
              <w:pStyle w:val="47"/>
            </w:pPr>
            <w:r>
              <w:t>AJS500-2.5-55-6/25-4</w:t>
            </w:r>
            <w:r>
              <w:rPr>
                <w:rFonts w:hint="eastAsia" w:ascii="宋体" w:hAnsi="宋体" w:cs="宋体"/>
              </w:rPr>
              <w:t>Ⅰ</w:t>
            </w:r>
          </w:p>
        </w:tc>
        <w:tc>
          <w:tcPr>
            <w:tcW w:w="762" w:type="dxa"/>
            <w:vAlign w:val="bottom"/>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五</w:t>
            </w:r>
          </w:p>
        </w:tc>
        <w:tc>
          <w:tcPr>
            <w:tcW w:w="2530" w:type="dxa"/>
            <w:vAlign w:val="center"/>
          </w:tcPr>
          <w:p>
            <w:pPr>
              <w:pStyle w:val="47"/>
            </w:pPr>
            <w:r>
              <w:t>工业炉类</w:t>
            </w:r>
          </w:p>
        </w:tc>
        <w:tc>
          <w:tcPr>
            <w:tcW w:w="2951" w:type="dxa"/>
            <w:vAlign w:val="center"/>
          </w:tcPr>
          <w:p>
            <w:pPr>
              <w:pStyle w:val="47"/>
            </w:pPr>
          </w:p>
        </w:tc>
        <w:tc>
          <w:tcPr>
            <w:tcW w:w="764" w:type="dxa"/>
            <w:vAlign w:val="center"/>
          </w:tcPr>
          <w:p>
            <w:pPr>
              <w:pStyle w:val="47"/>
            </w:pPr>
          </w:p>
        </w:tc>
        <w:tc>
          <w:tcPr>
            <w:tcW w:w="2868" w:type="dxa"/>
          </w:tcPr>
          <w:p>
            <w:pPr>
              <w:pStyle w:val="47"/>
            </w:pPr>
          </w:p>
        </w:tc>
        <w:tc>
          <w:tcPr>
            <w:tcW w:w="3308" w:type="dxa"/>
          </w:tcPr>
          <w:p>
            <w:pPr>
              <w:pStyle w:val="47"/>
            </w:pPr>
          </w:p>
        </w:tc>
        <w:tc>
          <w:tcPr>
            <w:tcW w:w="762" w:type="dxa"/>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1</w:t>
            </w:r>
          </w:p>
        </w:tc>
        <w:tc>
          <w:tcPr>
            <w:tcW w:w="2530" w:type="dxa"/>
            <w:vAlign w:val="center"/>
          </w:tcPr>
          <w:p>
            <w:pPr>
              <w:pStyle w:val="47"/>
            </w:pPr>
            <w:r>
              <w:t>减压炉</w:t>
            </w:r>
          </w:p>
        </w:tc>
        <w:tc>
          <w:tcPr>
            <w:tcW w:w="2951" w:type="dxa"/>
            <w:vAlign w:val="center"/>
          </w:tcPr>
          <w:p>
            <w:pPr>
              <w:pStyle w:val="47"/>
            </w:pPr>
            <w:r>
              <w:t>圆筒炉，Q=900kw</w:t>
            </w:r>
          </w:p>
        </w:tc>
        <w:tc>
          <w:tcPr>
            <w:tcW w:w="764" w:type="dxa"/>
            <w:vAlign w:val="center"/>
          </w:tcPr>
          <w:p>
            <w:pPr>
              <w:pStyle w:val="47"/>
            </w:pPr>
            <w:r>
              <w:t>1</w:t>
            </w:r>
          </w:p>
        </w:tc>
        <w:tc>
          <w:tcPr>
            <w:tcW w:w="2868" w:type="dxa"/>
          </w:tcPr>
          <w:p>
            <w:pPr>
              <w:pStyle w:val="47"/>
            </w:pPr>
          </w:p>
        </w:tc>
        <w:tc>
          <w:tcPr>
            <w:tcW w:w="3308" w:type="dxa"/>
          </w:tcPr>
          <w:p>
            <w:pPr>
              <w:pStyle w:val="47"/>
            </w:pPr>
          </w:p>
        </w:tc>
        <w:tc>
          <w:tcPr>
            <w:tcW w:w="762" w:type="dxa"/>
          </w:tcPr>
          <w:p>
            <w:pPr>
              <w:pStyle w:val="47"/>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65" w:type="dxa"/>
            <w:vAlign w:val="center"/>
          </w:tcPr>
          <w:p>
            <w:pPr>
              <w:pStyle w:val="47"/>
            </w:pPr>
            <w:r>
              <w:t>2</w:t>
            </w:r>
          </w:p>
        </w:tc>
        <w:tc>
          <w:tcPr>
            <w:tcW w:w="2530" w:type="dxa"/>
            <w:vAlign w:val="center"/>
          </w:tcPr>
          <w:p>
            <w:pPr>
              <w:pStyle w:val="47"/>
            </w:pPr>
            <w:r>
              <w:t>熔融盐炉</w:t>
            </w:r>
          </w:p>
        </w:tc>
        <w:tc>
          <w:tcPr>
            <w:tcW w:w="2951" w:type="dxa"/>
            <w:vAlign w:val="center"/>
          </w:tcPr>
          <w:p>
            <w:pPr>
              <w:pStyle w:val="47"/>
            </w:pPr>
            <w:r>
              <w:t>圆筒炉，Q=9800kw</w:t>
            </w:r>
          </w:p>
        </w:tc>
        <w:tc>
          <w:tcPr>
            <w:tcW w:w="764" w:type="dxa"/>
            <w:vAlign w:val="center"/>
          </w:tcPr>
          <w:p>
            <w:pPr>
              <w:pStyle w:val="47"/>
            </w:pPr>
            <w:r>
              <w:t>1</w:t>
            </w:r>
          </w:p>
        </w:tc>
        <w:tc>
          <w:tcPr>
            <w:tcW w:w="2868" w:type="dxa"/>
          </w:tcPr>
          <w:p>
            <w:pPr>
              <w:pStyle w:val="47"/>
            </w:pPr>
          </w:p>
        </w:tc>
        <w:tc>
          <w:tcPr>
            <w:tcW w:w="3308" w:type="dxa"/>
          </w:tcPr>
          <w:p>
            <w:pPr>
              <w:pStyle w:val="47"/>
            </w:pPr>
          </w:p>
        </w:tc>
        <w:tc>
          <w:tcPr>
            <w:tcW w:w="762" w:type="dxa"/>
          </w:tcPr>
          <w:p>
            <w:pPr>
              <w:pStyle w:val="47"/>
            </w:pPr>
          </w:p>
        </w:tc>
      </w:tr>
    </w:tbl>
    <w:p>
      <w:pPr>
        <w:spacing w:line="480" w:lineRule="exact"/>
        <w:ind w:firstLine="480" w:firstLineChars="200"/>
        <w:rPr>
          <w:rFonts w:ascii="Times New Roman" w:hAnsi="Times New Roman" w:eastAsia="黑体" w:cs="Times New Roman"/>
          <w:sz w:val="24"/>
        </w:rPr>
      </w:pPr>
      <w:r>
        <w:rPr>
          <w:rFonts w:hint="eastAsia" w:ascii="Times New Roman" w:hAnsi="Times New Roman" w:eastAsia="黑体" w:cs="Times New Roman"/>
          <w:sz w:val="24"/>
        </w:rPr>
        <w:t>表3.5-</w:t>
      </w:r>
      <w:r>
        <w:rPr>
          <w:rFonts w:ascii="Times New Roman" w:hAnsi="Times New Roman" w:eastAsia="黑体" w:cs="Times New Roman"/>
          <w:sz w:val="24"/>
        </w:rPr>
        <w:t>5</w:t>
      </w:r>
      <w:r>
        <w:rPr>
          <w:rFonts w:hint="eastAsia" w:ascii="Times New Roman" w:hAnsi="Times New Roman" w:eastAsia="黑体" w:cs="Times New Roman"/>
          <w:sz w:val="24"/>
        </w:rPr>
        <w:t xml:space="preserve">                            项目变更前后加热设备明细一览表</w:t>
      </w:r>
    </w:p>
    <w:tbl>
      <w:tblPr>
        <w:tblStyle w:val="19"/>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3"/>
        <w:gridCol w:w="1556"/>
        <w:gridCol w:w="3292"/>
        <w:gridCol w:w="787"/>
        <w:gridCol w:w="1769"/>
        <w:gridCol w:w="4784"/>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73" w:type="dxa"/>
            <w:vMerge w:val="restart"/>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5635" w:type="dxa"/>
            <w:gridSpan w:val="3"/>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变更前</w:t>
            </w:r>
          </w:p>
        </w:tc>
        <w:tc>
          <w:tcPr>
            <w:tcW w:w="7340" w:type="dxa"/>
            <w:gridSpan w:val="3"/>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73" w:type="dxa"/>
            <w:vMerge w:val="continue"/>
            <w:vAlign w:val="center"/>
          </w:tcPr>
          <w:p>
            <w:pPr>
              <w:pStyle w:val="52"/>
              <w:spacing w:line="240" w:lineRule="exact"/>
              <w:ind w:left="0"/>
              <w:jc w:val="center"/>
              <w:rPr>
                <w:rFonts w:ascii="Times New Roman" w:hAnsi="Times New Roman" w:eastAsia="宋体" w:cs="Times New Roman"/>
                <w:szCs w:val="21"/>
              </w:rPr>
            </w:pPr>
          </w:p>
        </w:tc>
        <w:tc>
          <w:tcPr>
            <w:tcW w:w="1556" w:type="dxa"/>
            <w:vAlign w:val="center"/>
          </w:tcPr>
          <w:p>
            <w:pPr>
              <w:pStyle w:val="47"/>
            </w:pPr>
            <w:r>
              <w:t>设备名称</w:t>
            </w:r>
          </w:p>
        </w:tc>
        <w:tc>
          <w:tcPr>
            <w:tcW w:w="3292" w:type="dxa"/>
            <w:vAlign w:val="center"/>
          </w:tcPr>
          <w:p>
            <w:pPr>
              <w:pStyle w:val="47"/>
            </w:pPr>
            <w:r>
              <w:t>规格型号</w:t>
            </w:r>
          </w:p>
        </w:tc>
        <w:tc>
          <w:tcPr>
            <w:tcW w:w="787" w:type="dxa"/>
            <w:vAlign w:val="center"/>
          </w:tcPr>
          <w:p>
            <w:pPr>
              <w:pStyle w:val="47"/>
            </w:pPr>
            <w:r>
              <w:t>台数</w:t>
            </w:r>
          </w:p>
        </w:tc>
        <w:tc>
          <w:tcPr>
            <w:tcW w:w="1769" w:type="dxa"/>
            <w:vAlign w:val="center"/>
          </w:tcPr>
          <w:p>
            <w:pPr>
              <w:pStyle w:val="47"/>
            </w:pPr>
            <w:r>
              <w:t>设备名称</w:t>
            </w:r>
          </w:p>
        </w:tc>
        <w:tc>
          <w:tcPr>
            <w:tcW w:w="4784" w:type="dxa"/>
            <w:vAlign w:val="center"/>
          </w:tcPr>
          <w:p>
            <w:pPr>
              <w:pStyle w:val="47"/>
            </w:pPr>
            <w:r>
              <w:t>规格型号</w:t>
            </w:r>
          </w:p>
        </w:tc>
        <w:tc>
          <w:tcPr>
            <w:tcW w:w="787" w:type="dxa"/>
            <w:vAlign w:val="center"/>
          </w:tcPr>
          <w:p>
            <w:pPr>
              <w:pStyle w:val="47"/>
            </w:pPr>
            <w: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73"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1</w:t>
            </w:r>
          </w:p>
        </w:tc>
        <w:tc>
          <w:tcPr>
            <w:tcW w:w="1556" w:type="dxa"/>
            <w:vAlign w:val="center"/>
          </w:tcPr>
          <w:p>
            <w:pPr>
              <w:pStyle w:val="47"/>
            </w:pPr>
            <w:r>
              <w:t>减压炉</w:t>
            </w:r>
          </w:p>
        </w:tc>
        <w:tc>
          <w:tcPr>
            <w:tcW w:w="3292" w:type="dxa"/>
            <w:vAlign w:val="center"/>
          </w:tcPr>
          <w:p>
            <w:pPr>
              <w:pStyle w:val="47"/>
            </w:pPr>
            <w:r>
              <w:t>圆筒炉，Q=900kw</w:t>
            </w:r>
          </w:p>
        </w:tc>
        <w:tc>
          <w:tcPr>
            <w:tcW w:w="787" w:type="dxa"/>
            <w:vAlign w:val="center"/>
          </w:tcPr>
          <w:p>
            <w:pPr>
              <w:pStyle w:val="47"/>
            </w:pPr>
            <w:r>
              <w:t>1</w:t>
            </w:r>
          </w:p>
        </w:tc>
        <w:tc>
          <w:tcPr>
            <w:tcW w:w="1769"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减压炉</w:t>
            </w:r>
          </w:p>
        </w:tc>
        <w:tc>
          <w:tcPr>
            <w:tcW w:w="4784"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辐射段 1300KW</w:t>
            </w:r>
          </w:p>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对流段 490KW</w:t>
            </w:r>
          </w:p>
        </w:tc>
        <w:tc>
          <w:tcPr>
            <w:tcW w:w="787"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3"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2</w:t>
            </w:r>
          </w:p>
        </w:tc>
        <w:tc>
          <w:tcPr>
            <w:tcW w:w="1556" w:type="dxa"/>
            <w:vAlign w:val="center"/>
          </w:tcPr>
          <w:p>
            <w:pPr>
              <w:pStyle w:val="47"/>
            </w:pPr>
            <w:r>
              <w:t>熔融盐炉</w:t>
            </w:r>
          </w:p>
        </w:tc>
        <w:tc>
          <w:tcPr>
            <w:tcW w:w="3292" w:type="dxa"/>
            <w:vAlign w:val="center"/>
          </w:tcPr>
          <w:p>
            <w:pPr>
              <w:pStyle w:val="47"/>
            </w:pPr>
            <w:r>
              <w:t>圆筒炉，Q=9800kw</w:t>
            </w:r>
          </w:p>
        </w:tc>
        <w:tc>
          <w:tcPr>
            <w:tcW w:w="787" w:type="dxa"/>
            <w:vAlign w:val="center"/>
          </w:tcPr>
          <w:p>
            <w:pPr>
              <w:pStyle w:val="47"/>
            </w:pPr>
            <w:r>
              <w:t>1</w:t>
            </w:r>
          </w:p>
        </w:tc>
        <w:tc>
          <w:tcPr>
            <w:tcW w:w="1769"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导热油炉</w:t>
            </w:r>
          </w:p>
        </w:tc>
        <w:tc>
          <w:tcPr>
            <w:tcW w:w="4784"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200x104Kcal/h</w:t>
            </w:r>
          </w:p>
        </w:tc>
        <w:tc>
          <w:tcPr>
            <w:tcW w:w="787"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1</w:t>
            </w:r>
          </w:p>
        </w:tc>
      </w:tr>
    </w:tbl>
    <w:p>
      <w:pPr>
        <w:spacing w:line="480" w:lineRule="exact"/>
        <w:ind w:firstLine="480" w:firstLineChars="200"/>
        <w:rPr>
          <w:rFonts w:ascii="Times New Roman" w:hAnsi="Times New Roman" w:eastAsia="宋体" w:cs="Times New Roman"/>
          <w:sz w:val="24"/>
          <w:szCs w:val="24"/>
        </w:rPr>
      </w:pPr>
    </w:p>
    <w:p>
      <w:pPr>
        <w:spacing w:line="480" w:lineRule="exact"/>
        <w:ind w:firstLine="480" w:firstLineChars="200"/>
        <w:rPr>
          <w:rFonts w:ascii="Times New Roman" w:hAnsi="Times New Roman" w:eastAsia="宋体" w:cs="Times New Roman"/>
          <w:sz w:val="24"/>
          <w:szCs w:val="24"/>
        </w:rPr>
      </w:pPr>
    </w:p>
    <w:p>
      <w:pPr>
        <w:spacing w:line="480" w:lineRule="exact"/>
        <w:ind w:firstLine="480" w:firstLineChars="200"/>
        <w:rPr>
          <w:rFonts w:ascii="Times New Roman" w:hAnsi="Times New Roman" w:eastAsia="宋体" w:cs="Times New Roman"/>
          <w:sz w:val="24"/>
          <w:szCs w:val="24"/>
        </w:rPr>
      </w:pPr>
    </w:p>
    <w:p>
      <w:pPr>
        <w:spacing w:line="480" w:lineRule="exact"/>
        <w:ind w:firstLine="480" w:firstLineChars="200"/>
        <w:rPr>
          <w:rFonts w:ascii="Times New Roman" w:hAnsi="Times New Roman" w:eastAsia="宋体" w:cs="Times New Roman"/>
          <w:sz w:val="24"/>
          <w:szCs w:val="24"/>
        </w:rPr>
      </w:pPr>
    </w:p>
    <w:p>
      <w:pPr>
        <w:spacing w:line="480" w:lineRule="exact"/>
        <w:ind w:firstLine="480" w:firstLineChars="200"/>
        <w:rPr>
          <w:rFonts w:ascii="Times New Roman" w:hAnsi="Times New Roman" w:eastAsia="宋体" w:cs="Times New Roman"/>
          <w:sz w:val="24"/>
          <w:szCs w:val="24"/>
        </w:rPr>
      </w:pPr>
    </w:p>
    <w:p>
      <w:pPr>
        <w:spacing w:line="480" w:lineRule="exact"/>
        <w:ind w:firstLine="480" w:firstLineChars="200"/>
        <w:rPr>
          <w:rFonts w:ascii="Times New Roman" w:hAnsi="Times New Roman" w:eastAsia="宋体" w:cs="Times New Roman"/>
          <w:sz w:val="24"/>
          <w:szCs w:val="24"/>
        </w:rPr>
        <w:sectPr>
          <w:pgSz w:w="16838" w:h="11906" w:orient="landscape"/>
          <w:pgMar w:top="1800" w:right="1440" w:bottom="1800" w:left="1440" w:header="851" w:footer="992" w:gutter="0"/>
          <w:cols w:space="425" w:num="1"/>
          <w:docGrid w:type="lines" w:linePitch="312" w:charSpace="0"/>
        </w:sectPr>
      </w:pPr>
    </w:p>
    <w:p>
      <w:pPr>
        <w:spacing w:before="80" w:after="80" w:line="520" w:lineRule="exact"/>
        <w:outlineLvl w:val="2"/>
        <w:rPr>
          <w:rFonts w:ascii="Times New Roman" w:hAnsi="Times New Roman" w:eastAsia="楷体" w:cs="Times New Roman"/>
          <w:sz w:val="28"/>
          <w:szCs w:val="28"/>
        </w:rPr>
      </w:pPr>
      <w:bookmarkStart w:id="37" w:name="_Toc8391539"/>
      <w:r>
        <w:rPr>
          <w:rFonts w:hint="eastAsia" w:ascii="Times New Roman" w:hAnsi="Times New Roman" w:eastAsia="楷体" w:cs="Times New Roman"/>
          <w:sz w:val="28"/>
          <w:szCs w:val="28"/>
        </w:rPr>
        <w:t>3.5.</w:t>
      </w:r>
      <w:r>
        <w:rPr>
          <w:rFonts w:ascii="Times New Roman" w:hAnsi="Times New Roman" w:eastAsia="楷体" w:cs="Times New Roman"/>
          <w:sz w:val="28"/>
          <w:szCs w:val="28"/>
        </w:rPr>
        <w:t>2</w:t>
      </w:r>
      <w:r>
        <w:rPr>
          <w:rFonts w:hint="eastAsia" w:ascii="Times New Roman" w:hAnsi="Times New Roman" w:eastAsia="楷体" w:cs="Times New Roman"/>
          <w:sz w:val="28"/>
          <w:szCs w:val="28"/>
        </w:rPr>
        <w:t xml:space="preserve"> 储罐区生产设备</w:t>
      </w:r>
      <w:bookmarkEnd w:id="37"/>
    </w:p>
    <w:p>
      <w:pPr>
        <w:widowControl/>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本项目储罐</w:t>
      </w:r>
      <w:r>
        <w:rPr>
          <w:rFonts w:ascii="Times New Roman" w:hAnsi="Times New Roman" w:eastAsia="宋体" w:cs="Times New Roman"/>
          <w:sz w:val="24"/>
          <w:szCs w:val="24"/>
        </w:rPr>
        <w:t>主要包括原料和产品储罐等</w:t>
      </w:r>
      <w:r>
        <w:rPr>
          <w:rFonts w:hint="eastAsia" w:ascii="Times New Roman" w:hAnsi="Times New Roman" w:eastAsia="宋体" w:cs="Times New Roman"/>
          <w:sz w:val="24"/>
          <w:szCs w:val="24"/>
        </w:rPr>
        <w:t>。储罐</w:t>
      </w:r>
      <w:r>
        <w:rPr>
          <w:rFonts w:ascii="Times New Roman" w:hAnsi="Times New Roman" w:eastAsia="宋体" w:cs="Times New Roman"/>
          <w:sz w:val="24"/>
          <w:szCs w:val="24"/>
        </w:rPr>
        <w:t>符合</w:t>
      </w:r>
      <w:r>
        <w:rPr>
          <w:rFonts w:hint="eastAsia" w:ascii="Times New Roman" w:hAnsi="Times New Roman" w:eastAsia="宋体" w:cs="Times New Roman"/>
          <w:sz w:val="24"/>
          <w:szCs w:val="24"/>
        </w:rPr>
        <w:t>《石油化工储运系统罐区设计规范》（</w:t>
      </w:r>
      <w:r>
        <w:rPr>
          <w:rFonts w:ascii="Times New Roman" w:hAnsi="Times New Roman" w:eastAsia="宋体" w:cs="Times New Roman"/>
          <w:sz w:val="24"/>
          <w:szCs w:val="24"/>
        </w:rPr>
        <w:t>SH/T3007-2014</w:t>
      </w:r>
      <w:r>
        <w:rPr>
          <w:rFonts w:hint="eastAsia" w:ascii="Times New Roman" w:hAnsi="Times New Roman" w:eastAsia="宋体" w:cs="Times New Roman"/>
          <w:sz w:val="24"/>
          <w:szCs w:val="24"/>
        </w:rPr>
        <w:t>）的有关规定，项目变更前后具体的储罐设置变化情况见表3.5-</w:t>
      </w:r>
      <w:r>
        <w:rPr>
          <w:rFonts w:ascii="Times New Roman" w:hAnsi="Times New Roman" w:eastAsia="宋体" w:cs="Times New Roman"/>
          <w:sz w:val="24"/>
          <w:szCs w:val="24"/>
        </w:rPr>
        <w:t>6</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黑体" w:cs="Times New Roman"/>
          <w:sz w:val="24"/>
        </w:rPr>
      </w:pPr>
      <w:r>
        <w:rPr>
          <w:rFonts w:hint="eastAsia" w:ascii="Times New Roman" w:hAnsi="Times New Roman" w:eastAsia="黑体" w:cs="Times New Roman"/>
          <w:sz w:val="24"/>
        </w:rPr>
        <w:t>表3.5</w:t>
      </w:r>
      <w:r>
        <w:rPr>
          <w:rFonts w:ascii="Times New Roman" w:hAnsi="Times New Roman" w:eastAsia="黑体" w:cs="Times New Roman"/>
          <w:sz w:val="24"/>
        </w:rPr>
        <w:t xml:space="preserve">-6             </w:t>
      </w:r>
      <w:r>
        <w:rPr>
          <w:rFonts w:hint="eastAsia" w:ascii="Times New Roman" w:hAnsi="Times New Roman" w:eastAsia="黑体" w:cs="Times New Roman"/>
          <w:sz w:val="24"/>
        </w:rPr>
        <w:t>变更前后储罐设置变化情况一览表</w:t>
      </w:r>
    </w:p>
    <w:tbl>
      <w:tblPr>
        <w:tblStyle w:val="19"/>
        <w:tblW w:w="9126" w:type="dxa"/>
        <w:jc w:val="center"/>
        <w:tblInd w:w="0"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 w:type="dxa"/>
          <w:bottom w:w="0" w:type="dxa"/>
          <w:right w:w="10" w:type="dxa"/>
        </w:tblCellMar>
      </w:tblPr>
      <w:tblGrid>
        <w:gridCol w:w="751"/>
        <w:gridCol w:w="843"/>
        <w:gridCol w:w="1289"/>
        <w:gridCol w:w="840"/>
        <w:gridCol w:w="1457"/>
        <w:gridCol w:w="1115"/>
        <w:gridCol w:w="887"/>
        <w:gridCol w:w="887"/>
        <w:gridCol w:w="1057"/>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 w:type="dxa"/>
            <w:bottom w:w="0" w:type="dxa"/>
            <w:right w:w="10" w:type="dxa"/>
          </w:tblCellMar>
        </w:tblPrEx>
        <w:trPr>
          <w:trHeight w:val="1" w:hRule="atLeast"/>
          <w:jc w:val="center"/>
        </w:trPr>
        <w:tc>
          <w:tcPr>
            <w:tcW w:w="751" w:type="dxa"/>
            <w:vMerge w:val="restart"/>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2132" w:type="dxa"/>
            <w:gridSpan w:val="2"/>
            <w:vMerge w:val="restart"/>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物料名称</w:t>
            </w:r>
          </w:p>
        </w:tc>
        <w:tc>
          <w:tcPr>
            <w:tcW w:w="840" w:type="dxa"/>
            <w:vMerge w:val="restart"/>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形态</w:t>
            </w:r>
          </w:p>
        </w:tc>
        <w:tc>
          <w:tcPr>
            <w:tcW w:w="1457" w:type="dxa"/>
            <w:vMerge w:val="restart"/>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储存方式</w:t>
            </w:r>
          </w:p>
        </w:tc>
        <w:tc>
          <w:tcPr>
            <w:tcW w:w="1115" w:type="dxa"/>
            <w:vMerge w:val="restart"/>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容积m</w:t>
            </w:r>
            <w:r>
              <w:rPr>
                <w:rFonts w:ascii="Times New Roman" w:hAnsi="Times New Roman" w:eastAsia="宋体" w:cs="Times New Roman"/>
                <w:szCs w:val="21"/>
                <w:vertAlign w:val="superscript"/>
              </w:rPr>
              <w:t>3</w:t>
            </w:r>
          </w:p>
        </w:tc>
        <w:tc>
          <w:tcPr>
            <w:tcW w:w="1774" w:type="dxa"/>
            <w:gridSpan w:val="2"/>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台数</w:t>
            </w:r>
          </w:p>
        </w:tc>
        <w:tc>
          <w:tcPr>
            <w:tcW w:w="1057" w:type="dxa"/>
            <w:vMerge w:val="restart"/>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变更情况</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 w:type="dxa"/>
            <w:bottom w:w="0" w:type="dxa"/>
            <w:right w:w="10" w:type="dxa"/>
          </w:tblCellMar>
        </w:tblPrEx>
        <w:trPr>
          <w:trHeight w:val="1" w:hRule="atLeast"/>
          <w:jc w:val="center"/>
        </w:trPr>
        <w:tc>
          <w:tcPr>
            <w:tcW w:w="751" w:type="dxa"/>
            <w:vMerge w:val="continue"/>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p>
        </w:tc>
        <w:tc>
          <w:tcPr>
            <w:tcW w:w="2132" w:type="dxa"/>
            <w:gridSpan w:val="2"/>
            <w:vMerge w:val="continue"/>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p>
        </w:tc>
        <w:tc>
          <w:tcPr>
            <w:tcW w:w="840" w:type="dxa"/>
            <w:vMerge w:val="continue"/>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p>
        </w:tc>
        <w:tc>
          <w:tcPr>
            <w:tcW w:w="1457" w:type="dxa"/>
            <w:vMerge w:val="continue"/>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p>
        </w:tc>
        <w:tc>
          <w:tcPr>
            <w:tcW w:w="1115" w:type="dxa"/>
            <w:vMerge w:val="continue"/>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p>
        </w:tc>
        <w:tc>
          <w:tcPr>
            <w:tcW w:w="887"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变更前</w:t>
            </w:r>
          </w:p>
        </w:tc>
        <w:tc>
          <w:tcPr>
            <w:tcW w:w="887" w:type="dxa"/>
            <w:shd w:val="clear" w:color="auto" w:fill="FFFFFF"/>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变更后</w:t>
            </w:r>
          </w:p>
        </w:tc>
        <w:tc>
          <w:tcPr>
            <w:tcW w:w="1057" w:type="dxa"/>
            <w:vMerge w:val="continue"/>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 w:type="dxa"/>
            <w:bottom w:w="0" w:type="dxa"/>
            <w:right w:w="10" w:type="dxa"/>
          </w:tblCellMar>
        </w:tblPrEx>
        <w:trPr>
          <w:trHeight w:val="1" w:hRule="atLeast"/>
          <w:jc w:val="center"/>
        </w:trPr>
        <w:tc>
          <w:tcPr>
            <w:tcW w:w="751"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843" w:type="dxa"/>
            <w:tcBorders>
              <w:right w:val="single" w:color="auto" w:sz="4" w:space="0"/>
            </w:tcBorders>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原料</w:t>
            </w:r>
          </w:p>
        </w:tc>
        <w:tc>
          <w:tcPr>
            <w:tcW w:w="1289" w:type="dxa"/>
            <w:tcBorders>
              <w:left w:val="single" w:color="auto" w:sz="4" w:space="0"/>
            </w:tcBorders>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原料油</w:t>
            </w:r>
          </w:p>
        </w:tc>
        <w:tc>
          <w:tcPr>
            <w:tcW w:w="840"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液相</w:t>
            </w:r>
          </w:p>
        </w:tc>
        <w:tc>
          <w:tcPr>
            <w:tcW w:w="1457"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固定顶储罐</w:t>
            </w:r>
          </w:p>
        </w:tc>
        <w:tc>
          <w:tcPr>
            <w:tcW w:w="1115"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1000</w:t>
            </w:r>
          </w:p>
        </w:tc>
        <w:tc>
          <w:tcPr>
            <w:tcW w:w="887"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12</w:t>
            </w:r>
          </w:p>
        </w:tc>
        <w:tc>
          <w:tcPr>
            <w:tcW w:w="887" w:type="dxa"/>
            <w:shd w:val="clear" w:color="auto" w:fill="FFFFFF"/>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12</w:t>
            </w:r>
          </w:p>
        </w:tc>
        <w:tc>
          <w:tcPr>
            <w:tcW w:w="1057"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不变</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 w:type="dxa"/>
            <w:bottom w:w="0" w:type="dxa"/>
            <w:right w:w="10" w:type="dxa"/>
          </w:tblCellMar>
        </w:tblPrEx>
        <w:trPr>
          <w:trHeight w:val="1" w:hRule="atLeast"/>
          <w:jc w:val="center"/>
        </w:trPr>
        <w:tc>
          <w:tcPr>
            <w:tcW w:w="751"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843" w:type="dxa"/>
            <w:vMerge w:val="restart"/>
            <w:tcBorders>
              <w:right w:val="single" w:color="auto" w:sz="4" w:space="0"/>
            </w:tcBorders>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产品</w:t>
            </w:r>
          </w:p>
        </w:tc>
        <w:tc>
          <w:tcPr>
            <w:tcW w:w="1289" w:type="dxa"/>
            <w:tcBorders>
              <w:left w:val="single" w:color="auto" w:sz="4" w:space="0"/>
            </w:tcBorders>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75#基础油</w:t>
            </w:r>
          </w:p>
        </w:tc>
        <w:tc>
          <w:tcPr>
            <w:tcW w:w="840"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液相</w:t>
            </w:r>
          </w:p>
        </w:tc>
        <w:tc>
          <w:tcPr>
            <w:tcW w:w="1457"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固定顶储罐</w:t>
            </w:r>
          </w:p>
        </w:tc>
        <w:tc>
          <w:tcPr>
            <w:tcW w:w="1115"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1000</w:t>
            </w:r>
          </w:p>
        </w:tc>
        <w:tc>
          <w:tcPr>
            <w:tcW w:w="887"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887" w:type="dxa"/>
            <w:shd w:val="clear" w:color="auto" w:fill="FFFFFF"/>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1057"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不变</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 w:type="dxa"/>
            <w:bottom w:w="0" w:type="dxa"/>
            <w:right w:w="10" w:type="dxa"/>
          </w:tblCellMar>
        </w:tblPrEx>
        <w:trPr>
          <w:trHeight w:val="1" w:hRule="atLeast"/>
          <w:jc w:val="center"/>
        </w:trPr>
        <w:tc>
          <w:tcPr>
            <w:tcW w:w="751"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w:t>
            </w:r>
          </w:p>
        </w:tc>
        <w:tc>
          <w:tcPr>
            <w:tcW w:w="843" w:type="dxa"/>
            <w:vMerge w:val="continue"/>
            <w:tcBorders>
              <w:right w:val="single" w:color="auto" w:sz="4" w:space="0"/>
            </w:tcBorders>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p>
        </w:tc>
        <w:tc>
          <w:tcPr>
            <w:tcW w:w="1289" w:type="dxa"/>
            <w:tcBorders>
              <w:left w:val="single" w:color="auto" w:sz="4" w:space="0"/>
            </w:tcBorders>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100#基础油</w:t>
            </w:r>
          </w:p>
        </w:tc>
        <w:tc>
          <w:tcPr>
            <w:tcW w:w="840"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液相</w:t>
            </w:r>
          </w:p>
        </w:tc>
        <w:tc>
          <w:tcPr>
            <w:tcW w:w="1457"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固定顶储罐</w:t>
            </w:r>
          </w:p>
        </w:tc>
        <w:tc>
          <w:tcPr>
            <w:tcW w:w="1115"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1000</w:t>
            </w:r>
          </w:p>
        </w:tc>
        <w:tc>
          <w:tcPr>
            <w:tcW w:w="887"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887" w:type="dxa"/>
            <w:shd w:val="clear" w:color="auto" w:fill="FFFFFF"/>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1057"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不变</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 w:type="dxa"/>
            <w:bottom w:w="0" w:type="dxa"/>
            <w:right w:w="10" w:type="dxa"/>
          </w:tblCellMar>
        </w:tblPrEx>
        <w:trPr>
          <w:trHeight w:val="1" w:hRule="atLeast"/>
          <w:jc w:val="center"/>
        </w:trPr>
        <w:tc>
          <w:tcPr>
            <w:tcW w:w="751"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4</w:t>
            </w:r>
          </w:p>
        </w:tc>
        <w:tc>
          <w:tcPr>
            <w:tcW w:w="843" w:type="dxa"/>
            <w:vMerge w:val="continue"/>
            <w:tcBorders>
              <w:right w:val="single" w:color="auto" w:sz="4" w:space="0"/>
            </w:tcBorders>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p>
        </w:tc>
        <w:tc>
          <w:tcPr>
            <w:tcW w:w="1289" w:type="dxa"/>
            <w:tcBorders>
              <w:left w:val="single" w:color="auto" w:sz="4" w:space="0"/>
            </w:tcBorders>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150#基础油</w:t>
            </w:r>
          </w:p>
        </w:tc>
        <w:tc>
          <w:tcPr>
            <w:tcW w:w="840"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液相</w:t>
            </w:r>
          </w:p>
        </w:tc>
        <w:tc>
          <w:tcPr>
            <w:tcW w:w="1457"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固定顶储罐</w:t>
            </w:r>
          </w:p>
        </w:tc>
        <w:tc>
          <w:tcPr>
            <w:tcW w:w="1115"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1000</w:t>
            </w:r>
          </w:p>
        </w:tc>
        <w:tc>
          <w:tcPr>
            <w:tcW w:w="887"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887" w:type="dxa"/>
            <w:shd w:val="clear" w:color="auto" w:fill="FFFFFF"/>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1057"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不变</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 w:type="dxa"/>
            <w:bottom w:w="0" w:type="dxa"/>
            <w:right w:w="10" w:type="dxa"/>
          </w:tblCellMar>
        </w:tblPrEx>
        <w:trPr>
          <w:trHeight w:val="1" w:hRule="atLeast"/>
          <w:jc w:val="center"/>
        </w:trPr>
        <w:tc>
          <w:tcPr>
            <w:tcW w:w="751"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5</w:t>
            </w:r>
          </w:p>
        </w:tc>
        <w:tc>
          <w:tcPr>
            <w:tcW w:w="843" w:type="dxa"/>
            <w:vMerge w:val="continue"/>
            <w:tcBorders>
              <w:right w:val="single" w:color="auto" w:sz="4" w:space="0"/>
            </w:tcBorders>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p>
        </w:tc>
        <w:tc>
          <w:tcPr>
            <w:tcW w:w="1289" w:type="dxa"/>
            <w:tcBorders>
              <w:left w:val="single" w:color="auto" w:sz="4" w:space="0"/>
            </w:tcBorders>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200#基础油</w:t>
            </w:r>
          </w:p>
        </w:tc>
        <w:tc>
          <w:tcPr>
            <w:tcW w:w="840"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液相</w:t>
            </w:r>
          </w:p>
        </w:tc>
        <w:tc>
          <w:tcPr>
            <w:tcW w:w="1457"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固定顶储罐</w:t>
            </w:r>
          </w:p>
        </w:tc>
        <w:tc>
          <w:tcPr>
            <w:tcW w:w="1115"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1000</w:t>
            </w:r>
          </w:p>
        </w:tc>
        <w:tc>
          <w:tcPr>
            <w:tcW w:w="887"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887" w:type="dxa"/>
            <w:shd w:val="clear" w:color="auto" w:fill="FFFFFF"/>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1057"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不变</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 w:type="dxa"/>
            <w:bottom w:w="0" w:type="dxa"/>
            <w:right w:w="10" w:type="dxa"/>
          </w:tblCellMar>
        </w:tblPrEx>
        <w:trPr>
          <w:trHeight w:val="1" w:hRule="atLeast"/>
          <w:jc w:val="center"/>
        </w:trPr>
        <w:tc>
          <w:tcPr>
            <w:tcW w:w="751"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843" w:type="dxa"/>
            <w:vMerge w:val="restart"/>
            <w:tcBorders>
              <w:right w:val="single" w:color="auto" w:sz="4" w:space="0"/>
            </w:tcBorders>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中间罐</w:t>
            </w:r>
          </w:p>
        </w:tc>
        <w:tc>
          <w:tcPr>
            <w:tcW w:w="1289" w:type="dxa"/>
            <w:tcBorders>
              <w:left w:val="single" w:color="auto" w:sz="4" w:space="0"/>
            </w:tcBorders>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丙烷</w:t>
            </w:r>
          </w:p>
        </w:tc>
        <w:tc>
          <w:tcPr>
            <w:tcW w:w="840"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液相</w:t>
            </w:r>
          </w:p>
        </w:tc>
        <w:tc>
          <w:tcPr>
            <w:tcW w:w="1457"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压力卧罐</w:t>
            </w:r>
          </w:p>
        </w:tc>
        <w:tc>
          <w:tcPr>
            <w:tcW w:w="1115" w:type="dxa"/>
            <w:shd w:val="clear" w:color="auto" w:fill="FFFFFF"/>
            <w:tcMar>
              <w:left w:w="108"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ascii="Times New Roman" w:hAnsi="Times New Roman" w:eastAsia="宋体" w:cs="Times New Roman"/>
                <w:kern w:val="0"/>
                <w:szCs w:val="21"/>
              </w:rPr>
              <w:t>5</w:t>
            </w:r>
          </w:p>
        </w:tc>
        <w:tc>
          <w:tcPr>
            <w:tcW w:w="887"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887" w:type="dxa"/>
            <w:shd w:val="clear" w:color="auto" w:fill="FFFFFF"/>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057"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szCs w:val="21"/>
              </w:rPr>
              <w:t>不变</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 w:type="dxa"/>
            <w:bottom w:w="0" w:type="dxa"/>
            <w:right w:w="10" w:type="dxa"/>
          </w:tblCellMar>
        </w:tblPrEx>
        <w:trPr>
          <w:trHeight w:val="1" w:hRule="atLeast"/>
          <w:jc w:val="center"/>
        </w:trPr>
        <w:tc>
          <w:tcPr>
            <w:tcW w:w="751"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w:t>
            </w:r>
          </w:p>
        </w:tc>
        <w:tc>
          <w:tcPr>
            <w:tcW w:w="843" w:type="dxa"/>
            <w:vMerge w:val="continue"/>
            <w:tcBorders>
              <w:right w:val="single" w:color="auto" w:sz="4" w:space="0"/>
            </w:tcBorders>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p>
        </w:tc>
        <w:tc>
          <w:tcPr>
            <w:tcW w:w="1289" w:type="dxa"/>
            <w:tcBorders>
              <w:left w:val="single" w:color="auto" w:sz="4" w:space="0"/>
            </w:tcBorders>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糠醛</w:t>
            </w:r>
          </w:p>
        </w:tc>
        <w:tc>
          <w:tcPr>
            <w:tcW w:w="840"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液相</w:t>
            </w:r>
          </w:p>
        </w:tc>
        <w:tc>
          <w:tcPr>
            <w:tcW w:w="1457"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常压立式</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内浮顶储罐</w:t>
            </w:r>
          </w:p>
        </w:tc>
        <w:tc>
          <w:tcPr>
            <w:tcW w:w="1115"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887"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887" w:type="dxa"/>
            <w:shd w:val="clear" w:color="auto" w:fill="FFFFFF"/>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w:t>
            </w:r>
          </w:p>
        </w:tc>
        <w:tc>
          <w:tcPr>
            <w:tcW w:w="1057"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去掉糠醛</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 w:type="dxa"/>
            <w:bottom w:w="0" w:type="dxa"/>
            <w:right w:w="10" w:type="dxa"/>
          </w:tblCellMar>
        </w:tblPrEx>
        <w:trPr>
          <w:trHeight w:val="1" w:hRule="atLeast"/>
          <w:jc w:val="center"/>
        </w:trPr>
        <w:tc>
          <w:tcPr>
            <w:tcW w:w="751"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c>
          <w:tcPr>
            <w:tcW w:w="843" w:type="dxa"/>
            <w:vMerge w:val="restart"/>
            <w:tcBorders>
              <w:right w:val="single" w:color="auto" w:sz="4" w:space="0"/>
            </w:tcBorders>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副产品</w:t>
            </w:r>
          </w:p>
        </w:tc>
        <w:tc>
          <w:tcPr>
            <w:tcW w:w="1289" w:type="dxa"/>
            <w:tcBorders>
              <w:left w:val="single" w:color="auto" w:sz="4" w:space="0"/>
            </w:tcBorders>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汽油</w:t>
            </w:r>
          </w:p>
        </w:tc>
        <w:tc>
          <w:tcPr>
            <w:tcW w:w="840"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液相</w:t>
            </w:r>
          </w:p>
        </w:tc>
        <w:tc>
          <w:tcPr>
            <w:tcW w:w="1457"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内浮顶储罐</w:t>
            </w:r>
          </w:p>
        </w:tc>
        <w:tc>
          <w:tcPr>
            <w:tcW w:w="1115"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300</w:t>
            </w:r>
          </w:p>
        </w:tc>
        <w:tc>
          <w:tcPr>
            <w:tcW w:w="887"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887" w:type="dxa"/>
            <w:shd w:val="clear" w:color="auto"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057"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不变</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 w:type="dxa"/>
            <w:bottom w:w="0" w:type="dxa"/>
            <w:right w:w="10" w:type="dxa"/>
          </w:tblCellMar>
        </w:tblPrEx>
        <w:trPr>
          <w:trHeight w:val="1" w:hRule="atLeast"/>
          <w:jc w:val="center"/>
        </w:trPr>
        <w:tc>
          <w:tcPr>
            <w:tcW w:w="751"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w:t>
            </w:r>
          </w:p>
        </w:tc>
        <w:tc>
          <w:tcPr>
            <w:tcW w:w="843" w:type="dxa"/>
            <w:vMerge w:val="continue"/>
            <w:tcBorders>
              <w:right w:val="single" w:color="auto" w:sz="4" w:space="0"/>
            </w:tcBorders>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p>
        </w:tc>
        <w:tc>
          <w:tcPr>
            <w:tcW w:w="1289" w:type="dxa"/>
            <w:tcBorders>
              <w:left w:val="single" w:color="auto" w:sz="4" w:space="0"/>
            </w:tcBorders>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燃料油</w:t>
            </w:r>
          </w:p>
        </w:tc>
        <w:tc>
          <w:tcPr>
            <w:tcW w:w="840"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液相</w:t>
            </w:r>
          </w:p>
        </w:tc>
        <w:tc>
          <w:tcPr>
            <w:tcW w:w="1457"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内浮顶储罐</w:t>
            </w:r>
          </w:p>
        </w:tc>
        <w:tc>
          <w:tcPr>
            <w:tcW w:w="1115"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1000</w:t>
            </w:r>
          </w:p>
        </w:tc>
        <w:tc>
          <w:tcPr>
            <w:tcW w:w="887"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887" w:type="dxa"/>
            <w:shd w:val="clear" w:color="auto"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057"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不变</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 w:type="dxa"/>
            <w:bottom w:w="0" w:type="dxa"/>
            <w:right w:w="10" w:type="dxa"/>
          </w:tblCellMar>
        </w:tblPrEx>
        <w:trPr>
          <w:trHeight w:val="1" w:hRule="atLeast"/>
          <w:jc w:val="center"/>
        </w:trPr>
        <w:tc>
          <w:tcPr>
            <w:tcW w:w="751"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843" w:type="dxa"/>
            <w:vMerge w:val="continue"/>
            <w:tcBorders>
              <w:right w:val="single" w:color="auto" w:sz="4" w:space="0"/>
            </w:tcBorders>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p>
        </w:tc>
        <w:tc>
          <w:tcPr>
            <w:tcW w:w="1289" w:type="dxa"/>
            <w:tcBorders>
              <w:left w:val="single" w:color="auto" w:sz="4" w:space="0"/>
            </w:tcBorders>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柴油</w:t>
            </w:r>
          </w:p>
        </w:tc>
        <w:tc>
          <w:tcPr>
            <w:tcW w:w="840"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液相</w:t>
            </w:r>
          </w:p>
        </w:tc>
        <w:tc>
          <w:tcPr>
            <w:tcW w:w="1457"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内浮顶储罐</w:t>
            </w:r>
          </w:p>
        </w:tc>
        <w:tc>
          <w:tcPr>
            <w:tcW w:w="1115"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300</w:t>
            </w:r>
          </w:p>
        </w:tc>
        <w:tc>
          <w:tcPr>
            <w:tcW w:w="887"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887" w:type="dxa"/>
            <w:shd w:val="clear" w:color="auto"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057"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不变</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 w:type="dxa"/>
            <w:bottom w:w="0" w:type="dxa"/>
            <w:right w:w="10" w:type="dxa"/>
          </w:tblCellMar>
        </w:tblPrEx>
        <w:trPr>
          <w:trHeight w:val="1" w:hRule="atLeast"/>
          <w:jc w:val="center"/>
        </w:trPr>
        <w:tc>
          <w:tcPr>
            <w:tcW w:w="751"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11</w:t>
            </w:r>
          </w:p>
        </w:tc>
        <w:tc>
          <w:tcPr>
            <w:tcW w:w="843" w:type="dxa"/>
            <w:vMerge w:val="continue"/>
            <w:tcBorders>
              <w:right w:val="single" w:color="auto" w:sz="4" w:space="0"/>
            </w:tcBorders>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p>
        </w:tc>
        <w:tc>
          <w:tcPr>
            <w:tcW w:w="1289" w:type="dxa"/>
            <w:tcBorders>
              <w:left w:val="single" w:color="auto" w:sz="4" w:space="0"/>
            </w:tcBorders>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沥青</w:t>
            </w:r>
          </w:p>
        </w:tc>
        <w:tc>
          <w:tcPr>
            <w:tcW w:w="840"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液相</w:t>
            </w:r>
          </w:p>
        </w:tc>
        <w:tc>
          <w:tcPr>
            <w:tcW w:w="1457"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固定顶储罐</w:t>
            </w:r>
          </w:p>
        </w:tc>
        <w:tc>
          <w:tcPr>
            <w:tcW w:w="1115"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1000</w:t>
            </w:r>
          </w:p>
        </w:tc>
        <w:tc>
          <w:tcPr>
            <w:tcW w:w="887" w:type="dxa"/>
            <w:shd w:val="clear" w:color="auto" w:fill="FFFFFF"/>
            <w:tcMar>
              <w:left w:w="108"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887" w:type="dxa"/>
            <w:shd w:val="clear" w:color="auto"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057" w:type="dxa"/>
            <w:shd w:val="clear" w:color="auto" w:fill="FFFFFF"/>
            <w:tcMar>
              <w:left w:w="108" w:type="dxa"/>
              <w:right w:w="108" w:type="dxa"/>
            </w:tcMar>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不变</w:t>
            </w:r>
          </w:p>
        </w:tc>
      </w:tr>
    </w:tbl>
    <w:p>
      <w:pPr>
        <w:pStyle w:val="39"/>
        <w:rPr>
          <w:color w:val="auto"/>
        </w:rPr>
      </w:pPr>
      <w:bookmarkStart w:id="38" w:name="_Toc8391540"/>
      <w:r>
        <w:rPr>
          <w:rFonts w:hint="eastAsia"/>
          <w:color w:val="auto"/>
        </w:rPr>
        <w:t>3.</w:t>
      </w:r>
      <w:r>
        <w:rPr>
          <w:color w:val="auto"/>
        </w:rPr>
        <w:t>6</w:t>
      </w:r>
      <w:r>
        <w:rPr>
          <w:rFonts w:hint="eastAsia"/>
          <w:color w:val="auto"/>
        </w:rPr>
        <w:t xml:space="preserve"> 主要工艺流程及产污环节分析</w:t>
      </w:r>
      <w:bookmarkEnd w:id="38"/>
    </w:p>
    <w:p>
      <w:pPr>
        <w:spacing w:before="80" w:after="80" w:line="520" w:lineRule="exact"/>
        <w:outlineLvl w:val="2"/>
        <w:rPr>
          <w:rFonts w:ascii="Times New Roman" w:hAnsi="Times New Roman" w:eastAsia="楷体" w:cs="Times New Roman"/>
          <w:sz w:val="28"/>
          <w:szCs w:val="28"/>
        </w:rPr>
      </w:pPr>
      <w:bookmarkStart w:id="39" w:name="_Toc8391541"/>
      <w:r>
        <w:rPr>
          <w:rFonts w:hint="eastAsia" w:ascii="Times New Roman" w:hAnsi="Times New Roman" w:eastAsia="楷体" w:cs="Times New Roman"/>
          <w:sz w:val="28"/>
          <w:szCs w:val="28"/>
        </w:rPr>
        <w:t>3.6</w:t>
      </w:r>
      <w:r>
        <w:rPr>
          <w:rFonts w:ascii="Times New Roman" w:hAnsi="Times New Roman" w:eastAsia="楷体" w:cs="Times New Roman"/>
          <w:sz w:val="28"/>
          <w:szCs w:val="28"/>
        </w:rPr>
        <w:t xml:space="preserve">.1 </w:t>
      </w:r>
      <w:r>
        <w:rPr>
          <w:rFonts w:hint="eastAsia" w:ascii="Times New Roman" w:hAnsi="Times New Roman" w:eastAsia="楷体" w:cs="Times New Roman"/>
          <w:sz w:val="28"/>
          <w:szCs w:val="28"/>
        </w:rPr>
        <w:t>工艺流程</w:t>
      </w:r>
      <w:bookmarkEnd w:id="39"/>
    </w:p>
    <w:p>
      <w:pPr>
        <w:spacing w:line="480" w:lineRule="exact"/>
        <w:ind w:firstLine="482" w:firstLineChars="200"/>
        <w:rPr>
          <w:rFonts w:ascii="Times New Roman" w:hAnsi="Times New Roman" w:eastAsia="宋体"/>
          <w:b/>
          <w:kern w:val="0"/>
          <w:sz w:val="24"/>
          <w:szCs w:val="24"/>
        </w:rPr>
      </w:pPr>
      <w:r>
        <w:rPr>
          <w:rFonts w:hint="eastAsia" w:ascii="Times New Roman" w:hAnsi="Times New Roman" w:eastAsia="宋体"/>
          <w:b/>
          <w:kern w:val="0"/>
          <w:sz w:val="24"/>
          <w:szCs w:val="24"/>
        </w:rPr>
        <w:t>本项目装置主要由预处理单元、溶剂精制单元和蒸馏单元组成。变更前后工艺过程详图见附图九。</w:t>
      </w:r>
    </w:p>
    <w:p>
      <w:pPr>
        <w:spacing w:line="480" w:lineRule="exact"/>
        <w:ind w:firstLine="482" w:firstLineChars="200"/>
        <w:rPr>
          <w:rFonts w:ascii="Times New Roman" w:hAnsi="Times New Roman" w:eastAsia="宋体"/>
          <w:b/>
          <w:kern w:val="0"/>
          <w:sz w:val="24"/>
          <w:szCs w:val="24"/>
        </w:rPr>
      </w:pPr>
      <w:r>
        <w:rPr>
          <w:rFonts w:hint="eastAsia" w:ascii="Times New Roman" w:hAnsi="Times New Roman" w:eastAsia="宋体" w:cs="Times New Roman"/>
          <w:b/>
          <w:sz w:val="24"/>
          <w:szCs w:val="24"/>
        </w:rPr>
        <w:t>变更前</w:t>
      </w:r>
      <w:r>
        <w:rPr>
          <w:rFonts w:hint="eastAsia" w:ascii="Times New Roman" w:hAnsi="Times New Roman" w:eastAsia="宋体"/>
          <w:b/>
          <w:kern w:val="0"/>
          <w:sz w:val="24"/>
          <w:szCs w:val="24"/>
        </w:rPr>
        <w:t>，预处理单元包括脱固脱水、脱油泥、薄膜蒸发及轻重烃分离等工序，溶剂精制单元包括丙烷脱沥青、糠醛精制及分子筛吸附等工序，蒸馏单元包括减压蒸馏工序。</w:t>
      </w:r>
      <w:r>
        <w:rPr>
          <w:rFonts w:hint="eastAsia" w:ascii="Times New Roman" w:hAnsi="Times New Roman" w:eastAsia="宋体" w:cs="Times New Roman"/>
          <w:b/>
          <w:sz w:val="24"/>
          <w:szCs w:val="24"/>
        </w:rPr>
        <w:t>具体处理废矿物油的的工艺流程方框图见图</w:t>
      </w:r>
      <w:r>
        <w:rPr>
          <w:rFonts w:ascii="Times New Roman" w:hAnsi="Times New Roman" w:eastAsia="宋体" w:cs="Times New Roman"/>
          <w:b/>
          <w:sz w:val="24"/>
          <w:szCs w:val="24"/>
        </w:rPr>
        <w:t>3.6</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1</w:t>
      </w:r>
      <w:r>
        <w:rPr>
          <w:rFonts w:hint="eastAsia" w:ascii="Times New Roman" w:hAnsi="Times New Roman" w:eastAsia="宋体" w:cs="Times New Roman"/>
          <w:b/>
          <w:sz w:val="24"/>
          <w:szCs w:val="24"/>
        </w:rPr>
        <w:t>。</w:t>
      </w:r>
    </w:p>
    <w:p>
      <w:pPr>
        <w:jc w:val="center"/>
        <w:rPr>
          <w:rFonts w:ascii="Times New Roman" w:hAnsi="Times New Roman" w:eastAsia="宋体" w:cs="Times New Roman"/>
          <w:sz w:val="24"/>
          <w:szCs w:val="24"/>
        </w:rPr>
      </w:pPr>
      <w:r>
        <w:pict>
          <v:shape id="_x0000_s1042" o:spid="_x0000_s1042" o:spt="75" type="#_x0000_t75" style="position:absolute;left:0pt;margin-left:-54.55pt;margin-top:0pt;height:174.35pt;width:518.45pt;mso-wrap-distance-bottom:0pt;mso-wrap-distance-left:9pt;mso-wrap-distance-right:9pt;mso-wrap-distance-top:0pt;z-index:251667456;mso-width-relative:page;mso-height-relative:page;" o:ole="t" filled="f" o:preferrelative="t" stroked="f" coordsize="21600,21600">
            <v:path/>
            <v:fill on="f" focussize="0,0"/>
            <v:stroke on="f" joinstyle="miter"/>
            <v:imagedata r:id="rId9" o:title=""/>
            <o:lock v:ext="edit" aspectratio="t"/>
            <w10:wrap type="square"/>
          </v:shape>
          <o:OLEObject Type="Embed" ProgID="Visio.Drawing.11" ShapeID="_x0000_s1042" DrawAspect="Content" ObjectID="_1468075726" r:id="rId8">
            <o:LockedField>false</o:LockedField>
          </o:OLEObject>
        </w:pict>
      </w:r>
    </w:p>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图</w:t>
      </w:r>
      <w:r>
        <w:rPr>
          <w:rFonts w:ascii="Times New Roman" w:hAnsi="Times New Roman" w:eastAsia="黑体" w:cs="Times New Roman"/>
          <w:sz w:val="24"/>
          <w:szCs w:val="24"/>
        </w:rPr>
        <w:t>3.6</w:t>
      </w:r>
      <w:r>
        <w:rPr>
          <w:rFonts w:hint="eastAsia" w:ascii="Times New Roman" w:hAnsi="Times New Roman" w:eastAsia="黑体" w:cs="Times New Roman"/>
          <w:sz w:val="24"/>
          <w:szCs w:val="24"/>
        </w:rPr>
        <w:t>-1   变更前项目工艺流程及产污环节示意图</w:t>
      </w:r>
    </w:p>
    <w:p>
      <w:pPr>
        <w:spacing w:line="480" w:lineRule="exact"/>
        <w:ind w:firstLine="420" w:firstLineChars="200"/>
        <w:rPr>
          <w:rFonts w:ascii="Times New Roman" w:hAnsi="Times New Roman" w:eastAsia="宋体" w:cs="Times New Roman"/>
          <w:b/>
          <w:sz w:val="24"/>
          <w:szCs w:val="24"/>
        </w:rPr>
      </w:pPr>
      <w:r>
        <w:pict>
          <v:shape id="_x0000_s1041" o:spid="_x0000_s1041" o:spt="75" type="#_x0000_t75" style="position:absolute;left:0pt;margin-left:-12.6pt;margin-top:49.2pt;height:194.55pt;width:474.6pt;mso-wrap-distance-bottom:0pt;mso-wrap-distance-left:9pt;mso-wrap-distance-right:9pt;mso-wrap-distance-top:0pt;z-index:251665408;mso-width-relative:page;mso-height-relative:page;" o:ole="t" filled="f" o:preferrelative="t" stroked="f" coordsize="21600,21600">
            <v:path/>
            <v:fill on="f" focussize="0,0"/>
            <v:stroke on="f" joinstyle="miter"/>
            <v:imagedata r:id="rId11" o:title=""/>
            <o:lock v:ext="edit" aspectratio="t"/>
            <w10:wrap type="square"/>
          </v:shape>
          <o:OLEObject Type="Embed" ProgID="Visio.Drawing.11" ShapeID="_x0000_s1041" DrawAspect="Content" ObjectID="_1468075727" r:id="rId10">
            <o:LockedField>false</o:LockedField>
          </o:OLEObject>
        </w:pict>
      </w:r>
      <w:r>
        <w:rPr>
          <w:rFonts w:hint="eastAsia" w:ascii="Times New Roman" w:hAnsi="Times New Roman" w:eastAsia="宋体" w:cs="Times New Roman"/>
          <w:b/>
          <w:sz w:val="24"/>
          <w:szCs w:val="24"/>
        </w:rPr>
        <w:t>变更后，工艺流程变为脱固脱水+减压闪蒸+丙烷脱沥青+减压蒸馏+分子筛吸附单元。具体处理废矿物油的的工艺流程方框图见图</w:t>
      </w:r>
      <w:r>
        <w:rPr>
          <w:rFonts w:ascii="Times New Roman" w:hAnsi="Times New Roman" w:eastAsia="宋体" w:cs="Times New Roman"/>
          <w:b/>
          <w:sz w:val="24"/>
          <w:szCs w:val="24"/>
        </w:rPr>
        <w:t>3.6</w:t>
      </w:r>
      <w:r>
        <w:rPr>
          <w:rFonts w:hint="eastAsia" w:ascii="Times New Roman" w:hAnsi="Times New Roman" w:eastAsia="宋体" w:cs="Times New Roman"/>
          <w:b/>
          <w:sz w:val="24"/>
          <w:szCs w:val="24"/>
        </w:rPr>
        <w:t>-2。</w:t>
      </w:r>
    </w:p>
    <w:p>
      <w:pPr>
        <w:rPr>
          <w:rFonts w:ascii="Times New Roman" w:hAnsi="Times New Roman" w:eastAsia="宋体" w:cs="Times New Roman"/>
          <w:b/>
          <w:sz w:val="24"/>
          <w:szCs w:val="24"/>
        </w:rPr>
      </w:pPr>
    </w:p>
    <w:p>
      <w:pPr>
        <w:pStyle w:val="50"/>
        <w:ind w:firstLine="0" w:firstLineChars="0"/>
        <w:rPr>
          <w:color w:val="auto"/>
        </w:rPr>
      </w:pPr>
      <w:r>
        <w:rPr>
          <w:rFonts w:hint="eastAsia"/>
          <w:color w:val="auto"/>
        </w:rPr>
        <w:t>图</w:t>
      </w:r>
      <w:r>
        <w:rPr>
          <w:color w:val="auto"/>
        </w:rPr>
        <w:t>3.6</w:t>
      </w:r>
      <w:r>
        <w:rPr>
          <w:rFonts w:hint="eastAsia"/>
          <w:color w:val="auto"/>
        </w:rPr>
        <w:t>-</w:t>
      </w:r>
      <w:r>
        <w:rPr>
          <w:color w:val="auto"/>
        </w:rPr>
        <w:t>2</w:t>
      </w:r>
      <w:r>
        <w:rPr>
          <w:rFonts w:hint="eastAsia"/>
          <w:color w:val="auto"/>
        </w:rPr>
        <w:t xml:space="preserve">   变更后项目工艺流程及产污环节示意图</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变更后，项目的工艺流程简述如下：</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卸料</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废矿物油由专用危险化学品密封装运车进厂，在装卸区由碳钢油泵将槽车或铁桶内的废矿物油泵入碳钢原料储罐内。</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预处理单元</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润滑油原料含有一定量的盐分、水分、金属屑等机械杂质、油泥和轻重烃，需进行净化处理才能满足后续生产对进料的要求。首先通过三注及聚结器分离脱除原料中盐分及水分，废矿物油与破乳剂、絮凝剂及碱液混合后，</w:t>
      </w:r>
      <w:r>
        <w:rPr>
          <w:rFonts w:ascii="Times New Roman" w:hAnsi="Times New Roman" w:eastAsia="宋体" w:cs="Times New Roman"/>
          <w:sz w:val="24"/>
          <w:szCs w:val="24"/>
        </w:rPr>
        <w:t>经换热器及加热器升温至125</w:t>
      </w:r>
      <w:r>
        <w:rPr>
          <w:rFonts w:hint="eastAsia" w:ascii="宋体" w:hAnsi="宋体" w:eastAsia="宋体" w:cs="宋体"/>
          <w:sz w:val="24"/>
          <w:szCs w:val="24"/>
        </w:rPr>
        <w:t>℃</w:t>
      </w:r>
      <w:r>
        <w:rPr>
          <w:rFonts w:ascii="Times New Roman" w:hAnsi="Times New Roman" w:eastAsia="宋体" w:cs="Times New Roman"/>
          <w:sz w:val="24"/>
          <w:szCs w:val="24"/>
        </w:rPr>
        <w:t>，</w:t>
      </w:r>
      <w:r>
        <w:rPr>
          <w:rFonts w:hint="eastAsia" w:ascii="Times New Roman" w:hAnsi="Times New Roman" w:eastAsia="宋体" w:cs="Times New Roman"/>
          <w:sz w:val="24"/>
          <w:szCs w:val="24"/>
        </w:rPr>
        <w:t>然后进入聚结器和沉降器，</w:t>
      </w:r>
      <w:r>
        <w:rPr>
          <w:rFonts w:ascii="Times New Roman" w:hAnsi="Times New Roman" w:eastAsia="宋体" w:cs="Times New Roman"/>
          <w:sz w:val="24"/>
          <w:szCs w:val="24"/>
        </w:rPr>
        <w:t>沉降器底部的盐分、水分、金属屑及油泥进入脱油泥机，脱油泥机底部定期</w:t>
      </w:r>
      <w:r>
        <w:rPr>
          <w:rFonts w:hint="eastAsia" w:ascii="Times New Roman" w:hAnsi="Times New Roman" w:eastAsia="宋体" w:cs="Times New Roman"/>
          <w:sz w:val="24"/>
          <w:szCs w:val="24"/>
        </w:rPr>
        <w:t>排</w:t>
      </w:r>
      <w:r>
        <w:rPr>
          <w:rFonts w:ascii="Times New Roman" w:hAnsi="Times New Roman" w:eastAsia="宋体" w:cs="Times New Roman"/>
          <w:sz w:val="24"/>
          <w:szCs w:val="24"/>
        </w:rPr>
        <w:t>废渣，顶部定期排废水，运行一定时间系统自动进行冲洗和清洗。</w:t>
      </w:r>
      <w:r>
        <w:rPr>
          <w:rFonts w:hint="eastAsia" w:ascii="Times New Roman" w:hAnsi="Times New Roman" w:eastAsia="宋体" w:cs="Times New Roman"/>
          <w:sz w:val="24"/>
          <w:szCs w:val="24"/>
        </w:rPr>
        <w:t>沉降器顶部脱杂后的废矿物油经换热及加热后进入减压闪蒸塔，塔顶冷凝的轻油经泵升压后并入原料油，随之送入罐区，塔底脱轻废矿物油由泵升压后经换热至85℃，进入溶剂精制单元。</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）溶剂精制单元</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溶剂精制以原料中各组分在溶剂中的溶解度不同为基础，利用溶剂在一定温度和压力下对原料中理想组分有相当大的溶解度，而对非理想组分难溶或几乎不溶的特性，实现理想组分与非理想组分的分离。</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丙烷脱沥青是利用丙烷对原料中的环烷烃、烷烃及低分子芳香烃（主要是润滑油和蜡组分）有相当大的溶解度，而对胶质、沥青质则难溶或几乎不溶的特性，实现脱沥青和沥青的分离。</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减压闪蒸塔底油经萃取进料缓冲罐进入丙烷萃取塔，丙烷萃取塔压力为</w:t>
      </w:r>
      <w:r>
        <w:rPr>
          <w:rFonts w:ascii="Times New Roman" w:hAnsi="Times New Roman" w:eastAsia="宋体" w:cs="Times New Roman"/>
          <w:sz w:val="24"/>
          <w:szCs w:val="24"/>
        </w:rPr>
        <w:t>4.5MPaG</w:t>
      </w:r>
      <w:r>
        <w:rPr>
          <w:rFonts w:hint="eastAsia" w:ascii="Times New Roman" w:hAnsi="Times New Roman" w:eastAsia="宋体" w:cs="Times New Roman"/>
          <w:sz w:val="24"/>
          <w:szCs w:val="24"/>
        </w:rPr>
        <w:t>，温度为</w:t>
      </w:r>
      <w:r>
        <w:rPr>
          <w:rFonts w:ascii="Times New Roman" w:hAnsi="Times New Roman" w:eastAsia="宋体" w:cs="Times New Roman"/>
          <w:sz w:val="24"/>
          <w:szCs w:val="24"/>
        </w:rPr>
        <w:t>87</w:t>
      </w:r>
      <w:r>
        <w:rPr>
          <w:rFonts w:hint="eastAsia" w:ascii="Times New Roman" w:hAnsi="Times New Roman" w:eastAsia="宋体" w:cs="Times New Roman"/>
          <w:sz w:val="24"/>
          <w:szCs w:val="24"/>
        </w:rPr>
        <w:t>℃，比重较大的沥青溶液（抽余液）沉降至萃取塔底部，比重较小的脱沥青溶液（抽取液）上升到萃取塔顶部。抽取液经萃取液加热器加热升温至97℃，经丙烷塔分离出丙烷，塔顶冷凝的高压丙烷进入丙烷循环罐循环使用，丙烷塔底的溶液进入含丙烷油闪蒸塔，进行进一步的分离。含丙烷油闪蒸塔顶冷凝后的低压丙烷，经泵升压后循环使用。含丙烷油闪蒸塔底的溶液进入含丙烷油汽提塔，塔顶冷凝后的低压丙烷，经丙烷压缩机及泵升压后循环使用，塔底的原料油经换热及冷却至</w:t>
      </w:r>
      <w:r>
        <w:rPr>
          <w:rFonts w:ascii="Times New Roman" w:hAnsi="Times New Roman" w:eastAsia="宋体" w:cs="Times New Roman"/>
          <w:sz w:val="24"/>
          <w:szCs w:val="24"/>
        </w:rPr>
        <w:t>80</w:t>
      </w:r>
      <w:r>
        <w:rPr>
          <w:rFonts w:hint="eastAsia" w:ascii="Times New Roman" w:hAnsi="Times New Roman" w:eastAsia="宋体" w:cs="Times New Roman"/>
          <w:sz w:val="24"/>
          <w:szCs w:val="24"/>
        </w:rPr>
        <w:t>℃后送入罐区。丙烷萃取塔塔底抽余液经加热器加热至215℃后进沥青汽提塔进行蒸汽汽提，塔顶冷凝后的低压丙烷，经丙烷压缩机及泵升压后循环使用，塔底沥青经泵送入沥青罐。</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）减压蒸馏单元</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润滑油在高温条件下容易受热分解而使油品颜色变深，胶质增加，一般加热温度不宜太高。但在真空条件下，由于系统压力降低，油品的沸点也随之降低，因此可以在较低的温度下将沸点较高的油品蒸出。通过设置多个抽出侧线，可将润滑油切割成多个牌号的润滑油基础油。</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由溶剂精制单元来的润滑油经减压加热炉加热至385℃后进入减压塔，减压塔压力为</w:t>
      </w:r>
      <w:r>
        <w:rPr>
          <w:rFonts w:ascii="Times New Roman" w:hAnsi="Times New Roman" w:eastAsia="宋体" w:cs="Times New Roman"/>
          <w:sz w:val="24"/>
          <w:szCs w:val="24"/>
        </w:rPr>
        <w:t>-0.099MPaG</w:t>
      </w:r>
      <w:r>
        <w:rPr>
          <w:rFonts w:hint="eastAsia" w:ascii="Times New Roman" w:hAnsi="Times New Roman" w:eastAsia="宋体" w:cs="Times New Roman"/>
          <w:sz w:val="24"/>
          <w:szCs w:val="24"/>
        </w:rPr>
        <w:t>，塔顶温度为</w:t>
      </w:r>
      <w:r>
        <w:rPr>
          <w:rFonts w:ascii="Times New Roman" w:hAnsi="Times New Roman" w:eastAsia="宋体" w:cs="Times New Roman"/>
          <w:sz w:val="24"/>
          <w:szCs w:val="24"/>
        </w:rPr>
        <w:t>70</w:t>
      </w:r>
      <w:r>
        <w:rPr>
          <w:rFonts w:hint="eastAsia" w:ascii="Times New Roman" w:hAnsi="Times New Roman" w:eastAsia="宋体" w:cs="Times New Roman"/>
          <w:sz w:val="24"/>
          <w:szCs w:val="24"/>
        </w:rPr>
        <w:t>℃。减顶油气由抽真空系统抽出，经冷凝至40℃后减顶油用减顶污油泵送出装置，减顶不凝气去减压炉。减压塔设有四根抽出侧线，减一线油由减压塔第一侧线抽出进入减压汽提塔减一线段，减压汽提塔减一线段压力为</w:t>
      </w:r>
      <w:r>
        <w:rPr>
          <w:rFonts w:ascii="Times New Roman" w:hAnsi="Times New Roman" w:eastAsia="宋体" w:cs="Times New Roman"/>
          <w:sz w:val="24"/>
          <w:szCs w:val="24"/>
        </w:rPr>
        <w:t>-0.099MPaG</w:t>
      </w:r>
      <w:r>
        <w:rPr>
          <w:rFonts w:hint="eastAsia" w:ascii="Times New Roman" w:hAnsi="Times New Roman" w:eastAsia="宋体" w:cs="Times New Roman"/>
          <w:sz w:val="24"/>
          <w:szCs w:val="24"/>
        </w:rPr>
        <w:t>，温度为</w:t>
      </w:r>
      <w:r>
        <w:rPr>
          <w:rFonts w:ascii="Times New Roman" w:hAnsi="Times New Roman" w:eastAsia="宋体" w:cs="Times New Roman"/>
          <w:sz w:val="24"/>
          <w:szCs w:val="24"/>
        </w:rPr>
        <w:t>103</w:t>
      </w:r>
      <w:r>
        <w:rPr>
          <w:rFonts w:hint="eastAsia" w:ascii="Times New Roman" w:hAnsi="Times New Roman" w:eastAsia="宋体" w:cs="Times New Roman"/>
          <w:sz w:val="24"/>
          <w:szCs w:val="24"/>
        </w:rPr>
        <w:t>℃。减一线油中轻组分由蒸汽汽提返回至减压塔，汽提塔底油由减一线及减一中泵抽出分别经换热器、冷却器冷却至</w:t>
      </w:r>
      <w:r>
        <w:rPr>
          <w:rFonts w:ascii="Times New Roman" w:hAnsi="Times New Roman" w:eastAsia="宋体" w:cs="Times New Roman"/>
          <w:sz w:val="24"/>
          <w:szCs w:val="24"/>
        </w:rPr>
        <w:t>80</w:t>
      </w:r>
      <w:r>
        <w:rPr>
          <w:rFonts w:hint="eastAsia" w:ascii="Times New Roman" w:hAnsi="Times New Roman" w:eastAsia="宋体" w:cs="Times New Roman"/>
          <w:sz w:val="24"/>
          <w:szCs w:val="24"/>
        </w:rPr>
        <w:t>℃后作为减一线油送至罐区；减二线油由减压塔第二侧线抽出进入减压汽提塔减二线段，减压汽提塔减二线段压力为</w:t>
      </w:r>
      <w:r>
        <w:rPr>
          <w:rFonts w:ascii="Times New Roman" w:hAnsi="Times New Roman" w:eastAsia="宋体" w:cs="Times New Roman"/>
          <w:sz w:val="24"/>
          <w:szCs w:val="24"/>
        </w:rPr>
        <w:t>-0.099MPaG</w:t>
      </w:r>
      <w:r>
        <w:rPr>
          <w:rFonts w:hint="eastAsia" w:ascii="Times New Roman" w:hAnsi="Times New Roman" w:eastAsia="宋体" w:cs="Times New Roman"/>
          <w:sz w:val="24"/>
          <w:szCs w:val="24"/>
        </w:rPr>
        <w:t>，温度为</w:t>
      </w:r>
      <w:r>
        <w:rPr>
          <w:rFonts w:ascii="Times New Roman" w:hAnsi="Times New Roman" w:eastAsia="宋体" w:cs="Times New Roman"/>
          <w:sz w:val="24"/>
          <w:szCs w:val="24"/>
        </w:rPr>
        <w:t>243</w:t>
      </w:r>
      <w:r>
        <w:rPr>
          <w:rFonts w:hint="eastAsia" w:ascii="Times New Roman" w:hAnsi="Times New Roman" w:eastAsia="宋体" w:cs="Times New Roman"/>
          <w:sz w:val="24"/>
          <w:szCs w:val="24"/>
        </w:rPr>
        <w:t>℃。减二线油中轻组分由蒸汽汽提返回至减压塔，汽提塔底油由减二线及减二中泵抽出分别经换热器、冷却器冷却至80℃后作为减二线油送至罐区；减三线油由减压塔第三侧线抽出进入减压汽提塔减三线段，减压汽提塔减三线段压力为</w:t>
      </w:r>
      <w:r>
        <w:rPr>
          <w:rFonts w:ascii="Times New Roman" w:hAnsi="Times New Roman" w:eastAsia="宋体" w:cs="Times New Roman"/>
          <w:sz w:val="24"/>
          <w:szCs w:val="24"/>
        </w:rPr>
        <w:t>-0.099MPaG</w:t>
      </w:r>
      <w:r>
        <w:rPr>
          <w:rFonts w:hint="eastAsia" w:ascii="Times New Roman" w:hAnsi="Times New Roman" w:eastAsia="宋体" w:cs="Times New Roman"/>
          <w:sz w:val="24"/>
          <w:szCs w:val="24"/>
        </w:rPr>
        <w:t>，温度为</w:t>
      </w:r>
      <w:r>
        <w:rPr>
          <w:rFonts w:ascii="Times New Roman" w:hAnsi="Times New Roman" w:eastAsia="宋体" w:cs="Times New Roman"/>
          <w:sz w:val="24"/>
          <w:szCs w:val="24"/>
        </w:rPr>
        <w:t>291</w:t>
      </w:r>
      <w:r>
        <w:rPr>
          <w:rFonts w:hint="eastAsia" w:ascii="Times New Roman" w:hAnsi="Times New Roman" w:eastAsia="宋体" w:cs="Times New Roman"/>
          <w:sz w:val="24"/>
          <w:szCs w:val="24"/>
        </w:rPr>
        <w:t>℃。减三线油中轻组分由蒸汽汽提返回至减压塔，汽提塔底油由减三线及减三中泵抽出分别经换热器、冷却器冷却至80℃后作为减三线油送至罐区；减四线油由减压塔第四侧线抽出进入减压汽提塔减四线段，减压汽提塔减四线段压力为</w:t>
      </w:r>
      <w:r>
        <w:rPr>
          <w:rFonts w:ascii="Times New Roman" w:hAnsi="Times New Roman" w:eastAsia="宋体" w:cs="Times New Roman"/>
          <w:sz w:val="24"/>
          <w:szCs w:val="24"/>
        </w:rPr>
        <w:t>-0.099MPaG</w:t>
      </w:r>
      <w:r>
        <w:rPr>
          <w:rFonts w:hint="eastAsia" w:ascii="Times New Roman" w:hAnsi="Times New Roman" w:eastAsia="宋体" w:cs="Times New Roman"/>
          <w:sz w:val="24"/>
          <w:szCs w:val="24"/>
        </w:rPr>
        <w:t>，温度为</w:t>
      </w:r>
      <w:r>
        <w:rPr>
          <w:rFonts w:ascii="Times New Roman" w:hAnsi="Times New Roman" w:eastAsia="宋体" w:cs="Times New Roman"/>
          <w:sz w:val="24"/>
          <w:szCs w:val="24"/>
        </w:rPr>
        <w:t>335</w:t>
      </w:r>
      <w:r>
        <w:rPr>
          <w:rFonts w:hint="eastAsia" w:ascii="Times New Roman" w:hAnsi="Times New Roman" w:eastAsia="宋体" w:cs="Times New Roman"/>
          <w:sz w:val="24"/>
          <w:szCs w:val="24"/>
        </w:rPr>
        <w:t>℃。减四线油中轻组分由蒸汽汽提返回至减压塔，汽提塔底油由减四线及减四中泵抽出分别经换热器、冷却器冷却至80℃后作为减四线油送至罐区；减压塔底油由减压塔底泵抽出分别经换热器、冷却器冷却至80℃后作为减底油送至罐区。</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（5）分子筛吸附单元</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经过减压蒸馏后的原料油与脱氮剂混合后，进入脱氮聚结器，脱氮后的原料油进入原料缓冲罐，经基础油原料-</w:t>
      </w:r>
      <w:r>
        <w:rPr>
          <w:rFonts w:ascii="Times New Roman" w:hAnsi="Times New Roman" w:eastAsia="宋体" w:cs="Times New Roman"/>
          <w:sz w:val="24"/>
          <w:szCs w:val="24"/>
        </w:rPr>
        <w:t>成品油</w:t>
      </w:r>
      <w:r>
        <w:rPr>
          <w:rFonts w:hint="eastAsia" w:ascii="Times New Roman" w:hAnsi="Times New Roman" w:eastAsia="宋体" w:cs="Times New Roman"/>
          <w:sz w:val="24"/>
          <w:szCs w:val="24"/>
        </w:rPr>
        <w:t>换热器换热升温至105℃，进入分子筛混合罐。原料油与通过分子筛输送及计量系统进入混合罐的分子筛，经搅拌器搅拌混合均匀后，由混合罐底泵连续自分子筛混合罐底抽出，经换热器及加热器加热至225℃后，原料油与分子筛的混合物进入蒸发塔。</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蒸发塔压力为</w:t>
      </w:r>
      <w:r>
        <w:rPr>
          <w:rFonts w:ascii="Times New Roman" w:hAnsi="Times New Roman" w:eastAsia="宋体" w:cs="Times New Roman"/>
          <w:sz w:val="24"/>
          <w:szCs w:val="24"/>
        </w:rPr>
        <w:t>-0.1MPaG</w:t>
      </w:r>
      <w:r>
        <w:rPr>
          <w:rFonts w:hint="eastAsia" w:ascii="Times New Roman" w:hAnsi="Times New Roman" w:eastAsia="宋体" w:cs="Times New Roman"/>
          <w:sz w:val="24"/>
          <w:szCs w:val="24"/>
        </w:rPr>
        <w:t>，温度为</w:t>
      </w:r>
      <w:r>
        <w:rPr>
          <w:rFonts w:ascii="Times New Roman" w:hAnsi="Times New Roman" w:eastAsia="宋体" w:cs="Times New Roman"/>
          <w:sz w:val="24"/>
          <w:szCs w:val="24"/>
        </w:rPr>
        <w:t>190</w:t>
      </w:r>
      <w:r>
        <w:rPr>
          <w:rFonts w:hint="eastAsia" w:ascii="Times New Roman" w:hAnsi="Times New Roman" w:eastAsia="宋体" w:cs="Times New Roman"/>
          <w:sz w:val="24"/>
          <w:szCs w:val="24"/>
        </w:rPr>
        <w:t>℃，塔顶油气经冷却器冷凝冷却至40℃后自流入蒸发塔顶罐，蒸发塔顶罐气相与真空泵入口相连，蒸发塔顶罐中馏出油由泵送至罐区。</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蒸发塔底油经蒸发塔底泵抽出，经换热及冷却后，进入厢式自动压滤机粗滤，过滤后的油和微量分子筛经泵升压后进入袋式过滤器细滤，过滤后所得成品油经换热及冷却后送入罐区。</w:t>
      </w:r>
    </w:p>
    <w:p>
      <w:pPr>
        <w:spacing w:before="80" w:after="80" w:line="520" w:lineRule="exact"/>
        <w:outlineLvl w:val="2"/>
        <w:rPr>
          <w:rFonts w:ascii="Times New Roman" w:hAnsi="Times New Roman" w:eastAsia="楷体" w:cs="Times New Roman"/>
          <w:sz w:val="28"/>
          <w:szCs w:val="28"/>
        </w:rPr>
      </w:pPr>
      <w:bookmarkStart w:id="40" w:name="_Toc8391542"/>
      <w:r>
        <w:rPr>
          <w:rFonts w:hint="eastAsia" w:ascii="Times New Roman" w:hAnsi="Times New Roman" w:eastAsia="楷体" w:cs="Times New Roman"/>
          <w:sz w:val="28"/>
          <w:szCs w:val="28"/>
        </w:rPr>
        <w:t>3.6.2 产污环节</w:t>
      </w:r>
      <w:bookmarkEnd w:id="40"/>
    </w:p>
    <w:p>
      <w:pPr>
        <w:spacing w:line="48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表3.6</w:t>
      </w:r>
      <w:r>
        <w:rPr>
          <w:rFonts w:ascii="Times New Roman" w:hAnsi="Times New Roman" w:eastAsia="黑体" w:cs="Times New Roman"/>
          <w:sz w:val="24"/>
          <w:szCs w:val="24"/>
        </w:rPr>
        <w:t xml:space="preserve">-1        </w:t>
      </w:r>
      <w:r>
        <w:rPr>
          <w:rFonts w:hint="eastAsia" w:ascii="Times New Roman" w:hAnsi="Times New Roman" w:eastAsia="黑体" w:cs="Times New Roman"/>
          <w:sz w:val="24"/>
          <w:szCs w:val="24"/>
        </w:rPr>
        <w:t>项目变更前后产污节点变化情况一览表</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7"/>
        <w:gridCol w:w="986"/>
        <w:gridCol w:w="1883"/>
        <w:gridCol w:w="810"/>
        <w:gridCol w:w="2147"/>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gridSpan w:val="2"/>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类别</w:t>
            </w:r>
          </w:p>
        </w:tc>
        <w:tc>
          <w:tcPr>
            <w:tcW w:w="5826" w:type="dxa"/>
            <w:gridSpan w:val="4"/>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产污环节</w:t>
            </w:r>
          </w:p>
        </w:tc>
        <w:tc>
          <w:tcPr>
            <w:tcW w:w="767"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有无变更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gridSpan w:val="2"/>
            <w:vMerge w:val="continue"/>
            <w:vAlign w:val="center"/>
          </w:tcPr>
          <w:p>
            <w:pPr>
              <w:spacing w:line="240" w:lineRule="exact"/>
              <w:jc w:val="center"/>
              <w:rPr>
                <w:rFonts w:ascii="Times New Roman" w:hAnsi="Times New Roman" w:eastAsia="宋体" w:cs="Times New Roman"/>
                <w:szCs w:val="21"/>
              </w:rPr>
            </w:pPr>
          </w:p>
        </w:tc>
        <w:tc>
          <w:tcPr>
            <w:tcW w:w="2869" w:type="dxa"/>
            <w:gridSpan w:val="2"/>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变更前</w:t>
            </w:r>
          </w:p>
        </w:tc>
        <w:tc>
          <w:tcPr>
            <w:tcW w:w="2957" w:type="dxa"/>
            <w:gridSpan w:val="2"/>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变更后</w:t>
            </w:r>
          </w:p>
        </w:tc>
        <w:tc>
          <w:tcPr>
            <w:tcW w:w="767"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废气</w:t>
            </w:r>
          </w:p>
        </w:tc>
        <w:tc>
          <w:tcPr>
            <w:tcW w:w="1277"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有组织</w:t>
            </w:r>
          </w:p>
        </w:tc>
        <w:tc>
          <w:tcPr>
            <w:tcW w:w="98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szCs w:val="21"/>
              </w:rPr>
              <w:t>G1-1</w:t>
            </w:r>
          </w:p>
        </w:tc>
        <w:tc>
          <w:tcPr>
            <w:tcW w:w="1883"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szCs w:val="21"/>
              </w:rPr>
              <w:t>薄膜蒸发器</w:t>
            </w:r>
          </w:p>
        </w:tc>
        <w:tc>
          <w:tcPr>
            <w:tcW w:w="81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G2-1</w:t>
            </w:r>
          </w:p>
        </w:tc>
        <w:tc>
          <w:tcPr>
            <w:tcW w:w="214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减压闪蒸塔</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Merge w:val="continue"/>
            <w:vAlign w:val="center"/>
          </w:tcPr>
          <w:p>
            <w:pPr>
              <w:spacing w:line="240" w:lineRule="exact"/>
              <w:jc w:val="center"/>
              <w:rPr>
                <w:rFonts w:ascii="Times New Roman" w:hAnsi="Times New Roman" w:eastAsia="宋体" w:cs="Times New Roman"/>
                <w:szCs w:val="21"/>
              </w:rPr>
            </w:pPr>
          </w:p>
        </w:tc>
        <w:tc>
          <w:tcPr>
            <w:tcW w:w="98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szCs w:val="21"/>
              </w:rPr>
              <w:t>G</w:t>
            </w:r>
            <w:r>
              <w:rPr>
                <w:rFonts w:ascii="Times New Roman" w:hAnsi="Times New Roman" w:eastAsia="宋体"/>
                <w:szCs w:val="21"/>
              </w:rPr>
              <w:t>1-</w:t>
            </w:r>
            <w:r>
              <w:rPr>
                <w:rFonts w:hint="eastAsia" w:ascii="Times New Roman" w:hAnsi="Times New Roman" w:eastAsia="宋体"/>
                <w:szCs w:val="21"/>
              </w:rPr>
              <w:t>2</w:t>
            </w:r>
          </w:p>
        </w:tc>
        <w:tc>
          <w:tcPr>
            <w:tcW w:w="1883"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szCs w:val="21"/>
              </w:rPr>
              <w:t>轻重烃分离塔</w:t>
            </w:r>
          </w:p>
        </w:tc>
        <w:tc>
          <w:tcPr>
            <w:tcW w:w="810"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szCs w:val="21"/>
              </w:rPr>
              <w:t>G2</w:t>
            </w:r>
            <w:r>
              <w:rPr>
                <w:rFonts w:ascii="Times New Roman" w:hAnsi="Times New Roman" w:eastAsia="宋体"/>
                <w:szCs w:val="21"/>
              </w:rPr>
              <w:t>-2</w:t>
            </w:r>
          </w:p>
        </w:tc>
        <w:tc>
          <w:tcPr>
            <w:tcW w:w="214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丙烷脱沥青丙烷分离</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Merge w:val="continue"/>
            <w:vAlign w:val="center"/>
          </w:tcPr>
          <w:p>
            <w:pPr>
              <w:spacing w:line="240" w:lineRule="exact"/>
              <w:jc w:val="center"/>
              <w:rPr>
                <w:rFonts w:ascii="Times New Roman" w:hAnsi="Times New Roman" w:eastAsia="宋体" w:cs="Times New Roman"/>
                <w:szCs w:val="21"/>
              </w:rPr>
            </w:pPr>
          </w:p>
        </w:tc>
        <w:tc>
          <w:tcPr>
            <w:tcW w:w="98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szCs w:val="21"/>
              </w:rPr>
              <w:t>G1-</w:t>
            </w:r>
            <w:r>
              <w:rPr>
                <w:rFonts w:hint="eastAsia" w:ascii="Times New Roman" w:hAnsi="Times New Roman" w:eastAsia="宋体"/>
                <w:szCs w:val="21"/>
              </w:rPr>
              <w:t>3</w:t>
            </w:r>
          </w:p>
        </w:tc>
        <w:tc>
          <w:tcPr>
            <w:tcW w:w="1883"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糠醛精制脱气塔</w:t>
            </w:r>
          </w:p>
        </w:tc>
        <w:tc>
          <w:tcPr>
            <w:tcW w:w="810"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szCs w:val="21"/>
              </w:rPr>
              <w:t>G2</w:t>
            </w:r>
            <w:r>
              <w:rPr>
                <w:rFonts w:ascii="Times New Roman" w:hAnsi="Times New Roman" w:eastAsia="宋体"/>
                <w:szCs w:val="21"/>
              </w:rPr>
              <w:t>-3</w:t>
            </w:r>
          </w:p>
        </w:tc>
        <w:tc>
          <w:tcPr>
            <w:tcW w:w="214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szCs w:val="21"/>
              </w:rPr>
              <w:t>减压塔减顶抽真空</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Merge w:val="continue"/>
            <w:vAlign w:val="center"/>
          </w:tcPr>
          <w:p>
            <w:pPr>
              <w:spacing w:line="240" w:lineRule="exact"/>
              <w:jc w:val="center"/>
              <w:rPr>
                <w:rFonts w:ascii="Times New Roman" w:hAnsi="Times New Roman" w:eastAsia="宋体" w:cs="Times New Roman"/>
                <w:szCs w:val="21"/>
              </w:rPr>
            </w:pPr>
          </w:p>
        </w:tc>
        <w:tc>
          <w:tcPr>
            <w:tcW w:w="98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szCs w:val="21"/>
              </w:rPr>
              <w:t>G1-</w:t>
            </w:r>
            <w:r>
              <w:rPr>
                <w:rFonts w:hint="eastAsia" w:ascii="Times New Roman" w:hAnsi="Times New Roman" w:eastAsia="宋体"/>
                <w:szCs w:val="21"/>
              </w:rPr>
              <w:t>4</w:t>
            </w:r>
          </w:p>
        </w:tc>
        <w:tc>
          <w:tcPr>
            <w:tcW w:w="1883"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szCs w:val="21"/>
              </w:rPr>
              <w:t>减压塔</w:t>
            </w:r>
          </w:p>
        </w:tc>
        <w:tc>
          <w:tcPr>
            <w:tcW w:w="810"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szCs w:val="21"/>
              </w:rPr>
              <w:t>G2</w:t>
            </w:r>
            <w:r>
              <w:rPr>
                <w:rFonts w:ascii="Times New Roman" w:hAnsi="Times New Roman" w:eastAsia="宋体"/>
                <w:szCs w:val="21"/>
              </w:rPr>
              <w:t>-4</w:t>
            </w:r>
          </w:p>
        </w:tc>
        <w:tc>
          <w:tcPr>
            <w:tcW w:w="214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分子筛吸附</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Merge w:val="continue"/>
            <w:vAlign w:val="center"/>
          </w:tcPr>
          <w:p>
            <w:pPr>
              <w:spacing w:line="240" w:lineRule="exact"/>
              <w:jc w:val="center"/>
              <w:rPr>
                <w:rFonts w:ascii="Times New Roman" w:hAnsi="Times New Roman" w:eastAsia="宋体" w:cs="Times New Roman"/>
                <w:szCs w:val="21"/>
              </w:rPr>
            </w:pPr>
          </w:p>
        </w:tc>
        <w:tc>
          <w:tcPr>
            <w:tcW w:w="986"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G1-</w:t>
            </w:r>
            <w:r>
              <w:rPr>
                <w:rFonts w:hint="eastAsia" w:ascii="Times New Roman" w:hAnsi="Times New Roman" w:eastAsia="宋体"/>
                <w:szCs w:val="21"/>
              </w:rPr>
              <w:t>5</w:t>
            </w:r>
          </w:p>
        </w:tc>
        <w:tc>
          <w:tcPr>
            <w:tcW w:w="1883"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减压炉</w:t>
            </w:r>
          </w:p>
        </w:tc>
        <w:tc>
          <w:tcPr>
            <w:tcW w:w="810"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G2-</w:t>
            </w:r>
            <w:r>
              <w:rPr>
                <w:rFonts w:hint="eastAsia" w:ascii="Times New Roman" w:hAnsi="Times New Roman" w:eastAsia="宋体"/>
                <w:szCs w:val="21"/>
              </w:rPr>
              <w:t>5</w:t>
            </w:r>
          </w:p>
        </w:tc>
        <w:tc>
          <w:tcPr>
            <w:tcW w:w="214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减压炉</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Merge w:val="continue"/>
            <w:vAlign w:val="center"/>
          </w:tcPr>
          <w:p>
            <w:pPr>
              <w:spacing w:line="240" w:lineRule="exact"/>
              <w:jc w:val="center"/>
              <w:rPr>
                <w:rFonts w:ascii="Times New Roman" w:hAnsi="Times New Roman" w:eastAsia="宋体" w:cs="Times New Roman"/>
                <w:szCs w:val="21"/>
              </w:rPr>
            </w:pPr>
          </w:p>
        </w:tc>
        <w:tc>
          <w:tcPr>
            <w:tcW w:w="986"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w:t>
            </w:r>
          </w:p>
        </w:tc>
        <w:tc>
          <w:tcPr>
            <w:tcW w:w="1883"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熔盐炉</w:t>
            </w:r>
          </w:p>
        </w:tc>
        <w:tc>
          <w:tcPr>
            <w:tcW w:w="810"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w:t>
            </w:r>
          </w:p>
        </w:tc>
        <w:tc>
          <w:tcPr>
            <w:tcW w:w="214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导热油炉</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Merge w:val="continue"/>
            <w:vAlign w:val="center"/>
          </w:tcPr>
          <w:p>
            <w:pPr>
              <w:spacing w:line="240" w:lineRule="exact"/>
              <w:jc w:val="center"/>
              <w:rPr>
                <w:rFonts w:ascii="Times New Roman" w:hAnsi="Times New Roman" w:eastAsia="宋体" w:cs="Times New Roman"/>
                <w:szCs w:val="21"/>
              </w:rPr>
            </w:pPr>
          </w:p>
        </w:tc>
        <w:tc>
          <w:tcPr>
            <w:tcW w:w="986"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w:t>
            </w:r>
          </w:p>
        </w:tc>
        <w:tc>
          <w:tcPr>
            <w:tcW w:w="1883"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罐区</w:t>
            </w:r>
          </w:p>
        </w:tc>
        <w:tc>
          <w:tcPr>
            <w:tcW w:w="810"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w:t>
            </w:r>
          </w:p>
        </w:tc>
        <w:tc>
          <w:tcPr>
            <w:tcW w:w="2147"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罐区</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Merge w:val="continue"/>
            <w:vAlign w:val="center"/>
          </w:tcPr>
          <w:p>
            <w:pPr>
              <w:spacing w:line="240" w:lineRule="exact"/>
              <w:jc w:val="center"/>
              <w:rPr>
                <w:rFonts w:ascii="Times New Roman" w:hAnsi="Times New Roman" w:eastAsia="宋体" w:cs="Times New Roman"/>
                <w:szCs w:val="21"/>
              </w:rPr>
            </w:pPr>
          </w:p>
        </w:tc>
        <w:tc>
          <w:tcPr>
            <w:tcW w:w="986"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w:t>
            </w:r>
          </w:p>
        </w:tc>
        <w:tc>
          <w:tcPr>
            <w:tcW w:w="1883"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装卸平台</w:t>
            </w:r>
          </w:p>
        </w:tc>
        <w:tc>
          <w:tcPr>
            <w:tcW w:w="810"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w:t>
            </w:r>
          </w:p>
        </w:tc>
        <w:tc>
          <w:tcPr>
            <w:tcW w:w="2147"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装卸平台</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Merge w:val="continue"/>
            <w:vAlign w:val="center"/>
          </w:tcPr>
          <w:p>
            <w:pPr>
              <w:spacing w:line="240" w:lineRule="exact"/>
              <w:jc w:val="center"/>
              <w:rPr>
                <w:rFonts w:ascii="Times New Roman" w:hAnsi="Times New Roman" w:eastAsia="宋体" w:cs="Times New Roman"/>
                <w:szCs w:val="21"/>
              </w:rPr>
            </w:pPr>
          </w:p>
        </w:tc>
        <w:tc>
          <w:tcPr>
            <w:tcW w:w="986"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w:t>
            </w:r>
          </w:p>
        </w:tc>
        <w:tc>
          <w:tcPr>
            <w:tcW w:w="1883" w:type="dxa"/>
            <w:vAlign w:val="center"/>
          </w:tcPr>
          <w:p>
            <w:pPr>
              <w:spacing w:line="240" w:lineRule="exact"/>
              <w:jc w:val="center"/>
              <w:rPr>
                <w:rFonts w:ascii="Times New Roman" w:hAnsi="Times New Roman" w:eastAsia="宋体"/>
                <w:szCs w:val="21"/>
              </w:rPr>
            </w:pPr>
            <w:r>
              <w:rPr>
                <w:rFonts w:ascii="Times New Roman" w:hAnsi="Times New Roman" w:eastAsia="宋体"/>
                <w:kern w:val="0"/>
                <w:szCs w:val="21"/>
                <w:lang w:eastAsia="en-US"/>
              </w:rPr>
              <w:t>污水</w:t>
            </w:r>
            <w:r>
              <w:rPr>
                <w:rFonts w:hint="eastAsia" w:ascii="Times New Roman" w:hAnsi="Times New Roman" w:eastAsia="宋体"/>
                <w:kern w:val="0"/>
                <w:szCs w:val="21"/>
              </w:rPr>
              <w:t>处理</w:t>
            </w:r>
            <w:r>
              <w:rPr>
                <w:rFonts w:ascii="Times New Roman" w:hAnsi="Times New Roman" w:eastAsia="宋体"/>
                <w:kern w:val="0"/>
                <w:szCs w:val="21"/>
                <w:lang w:eastAsia="en-US"/>
              </w:rPr>
              <w:t>站</w:t>
            </w:r>
          </w:p>
        </w:tc>
        <w:tc>
          <w:tcPr>
            <w:tcW w:w="810"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w:t>
            </w:r>
          </w:p>
        </w:tc>
        <w:tc>
          <w:tcPr>
            <w:tcW w:w="2147" w:type="dxa"/>
            <w:vAlign w:val="center"/>
          </w:tcPr>
          <w:p>
            <w:pPr>
              <w:spacing w:line="240" w:lineRule="exact"/>
              <w:jc w:val="center"/>
              <w:rPr>
                <w:rFonts w:ascii="Times New Roman" w:hAnsi="Times New Roman" w:eastAsia="宋体"/>
                <w:szCs w:val="21"/>
              </w:rPr>
            </w:pPr>
            <w:r>
              <w:rPr>
                <w:rFonts w:ascii="Times New Roman" w:hAnsi="Times New Roman" w:eastAsia="宋体"/>
                <w:kern w:val="0"/>
                <w:szCs w:val="21"/>
                <w:lang w:eastAsia="en-US"/>
              </w:rPr>
              <w:t>污水</w:t>
            </w:r>
            <w:r>
              <w:rPr>
                <w:rFonts w:hint="eastAsia" w:ascii="Times New Roman" w:hAnsi="Times New Roman" w:eastAsia="宋体"/>
                <w:kern w:val="0"/>
                <w:szCs w:val="21"/>
              </w:rPr>
              <w:t>处理</w:t>
            </w:r>
            <w:r>
              <w:rPr>
                <w:rFonts w:ascii="Times New Roman" w:hAnsi="Times New Roman" w:eastAsia="宋体"/>
                <w:kern w:val="0"/>
                <w:szCs w:val="21"/>
                <w:lang w:eastAsia="en-US"/>
              </w:rPr>
              <w:t>站</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无组织</w:t>
            </w:r>
          </w:p>
        </w:tc>
        <w:tc>
          <w:tcPr>
            <w:tcW w:w="2869" w:type="dxa"/>
            <w:gridSpan w:val="2"/>
            <w:vAlign w:val="center"/>
          </w:tcPr>
          <w:p>
            <w:pPr>
              <w:spacing w:line="240" w:lineRule="exact"/>
              <w:jc w:val="center"/>
              <w:rPr>
                <w:rFonts w:ascii="Times New Roman" w:hAnsi="Times New Roman" w:eastAsia="宋体"/>
                <w:szCs w:val="21"/>
              </w:rPr>
            </w:pPr>
            <w:r>
              <w:rPr>
                <w:rFonts w:ascii="Times New Roman" w:hAnsi="Times New Roman" w:eastAsia="宋体"/>
                <w:szCs w:val="21"/>
              </w:rPr>
              <w:t>装卸平台</w:t>
            </w:r>
          </w:p>
        </w:tc>
        <w:tc>
          <w:tcPr>
            <w:tcW w:w="2957" w:type="dxa"/>
            <w:gridSpan w:val="2"/>
            <w:vAlign w:val="center"/>
          </w:tcPr>
          <w:p>
            <w:pPr>
              <w:spacing w:line="240" w:lineRule="exact"/>
              <w:jc w:val="center"/>
              <w:rPr>
                <w:rFonts w:ascii="Times New Roman" w:hAnsi="Times New Roman" w:eastAsia="宋体"/>
                <w:szCs w:val="21"/>
              </w:rPr>
            </w:pPr>
            <w:r>
              <w:rPr>
                <w:rFonts w:ascii="Times New Roman" w:hAnsi="Times New Roman" w:eastAsia="宋体"/>
                <w:szCs w:val="21"/>
              </w:rPr>
              <w:t>装卸平台</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Merge w:val="continue"/>
            <w:vAlign w:val="center"/>
          </w:tcPr>
          <w:p>
            <w:pPr>
              <w:spacing w:line="240" w:lineRule="exact"/>
              <w:jc w:val="center"/>
              <w:rPr>
                <w:rFonts w:ascii="Times New Roman" w:hAnsi="Times New Roman" w:eastAsia="宋体" w:cs="Times New Roman"/>
                <w:szCs w:val="21"/>
              </w:rPr>
            </w:pPr>
          </w:p>
        </w:tc>
        <w:tc>
          <w:tcPr>
            <w:tcW w:w="2869" w:type="dxa"/>
            <w:gridSpan w:val="2"/>
            <w:vAlign w:val="center"/>
          </w:tcPr>
          <w:p>
            <w:pPr>
              <w:spacing w:line="240" w:lineRule="exact"/>
              <w:jc w:val="center"/>
              <w:rPr>
                <w:rFonts w:ascii="Times New Roman" w:hAnsi="Times New Roman" w:eastAsia="宋体"/>
                <w:kern w:val="0"/>
                <w:szCs w:val="21"/>
                <w:lang w:eastAsia="en-US"/>
              </w:rPr>
            </w:pPr>
            <w:r>
              <w:rPr>
                <w:rFonts w:ascii="Times New Roman" w:hAnsi="Times New Roman" w:eastAsia="宋体"/>
                <w:kern w:val="0"/>
                <w:szCs w:val="21"/>
                <w:lang w:eastAsia="en-US"/>
              </w:rPr>
              <w:t>污水</w:t>
            </w:r>
            <w:r>
              <w:rPr>
                <w:rFonts w:hint="eastAsia" w:ascii="Times New Roman" w:hAnsi="Times New Roman" w:eastAsia="宋体"/>
                <w:kern w:val="0"/>
                <w:szCs w:val="21"/>
              </w:rPr>
              <w:t>处理</w:t>
            </w:r>
            <w:r>
              <w:rPr>
                <w:rFonts w:ascii="Times New Roman" w:hAnsi="Times New Roman" w:eastAsia="宋体"/>
                <w:kern w:val="0"/>
                <w:szCs w:val="21"/>
                <w:lang w:eastAsia="en-US"/>
              </w:rPr>
              <w:t>站</w:t>
            </w:r>
          </w:p>
        </w:tc>
        <w:tc>
          <w:tcPr>
            <w:tcW w:w="2957" w:type="dxa"/>
            <w:gridSpan w:val="2"/>
            <w:vAlign w:val="center"/>
          </w:tcPr>
          <w:p>
            <w:pPr>
              <w:spacing w:line="240" w:lineRule="exact"/>
              <w:jc w:val="center"/>
              <w:rPr>
                <w:rFonts w:ascii="Times New Roman" w:hAnsi="Times New Roman" w:eastAsia="宋体"/>
                <w:kern w:val="0"/>
                <w:szCs w:val="21"/>
                <w:lang w:eastAsia="en-US"/>
              </w:rPr>
            </w:pPr>
            <w:r>
              <w:rPr>
                <w:rFonts w:ascii="Times New Roman" w:hAnsi="Times New Roman" w:eastAsia="宋体"/>
                <w:kern w:val="0"/>
                <w:szCs w:val="21"/>
                <w:lang w:eastAsia="en-US"/>
              </w:rPr>
              <w:t>污水</w:t>
            </w:r>
            <w:r>
              <w:rPr>
                <w:rFonts w:hint="eastAsia" w:ascii="Times New Roman" w:hAnsi="Times New Roman" w:eastAsia="宋体"/>
                <w:kern w:val="0"/>
                <w:szCs w:val="21"/>
              </w:rPr>
              <w:t>处理</w:t>
            </w:r>
            <w:r>
              <w:rPr>
                <w:rFonts w:ascii="Times New Roman" w:hAnsi="Times New Roman" w:eastAsia="宋体"/>
                <w:kern w:val="0"/>
                <w:szCs w:val="21"/>
                <w:lang w:eastAsia="en-US"/>
              </w:rPr>
              <w:t>站</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废水</w:t>
            </w:r>
          </w:p>
        </w:tc>
        <w:tc>
          <w:tcPr>
            <w:tcW w:w="1277" w:type="dxa"/>
            <w:vMerge w:val="restart"/>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预处理单元</w:t>
            </w:r>
          </w:p>
        </w:tc>
        <w:tc>
          <w:tcPr>
            <w:tcW w:w="986"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W1-1</w:t>
            </w:r>
          </w:p>
        </w:tc>
        <w:tc>
          <w:tcPr>
            <w:tcW w:w="1883"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脱固脱水器</w:t>
            </w:r>
          </w:p>
        </w:tc>
        <w:tc>
          <w:tcPr>
            <w:tcW w:w="810"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W2-1</w:t>
            </w:r>
          </w:p>
        </w:tc>
        <w:tc>
          <w:tcPr>
            <w:tcW w:w="214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脱固脱水-脱油泥机</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Merge w:val="continue"/>
            <w:vAlign w:val="center"/>
          </w:tcPr>
          <w:p>
            <w:pPr>
              <w:spacing w:line="240" w:lineRule="exact"/>
              <w:jc w:val="center"/>
              <w:rPr>
                <w:rFonts w:ascii="Times New Roman" w:hAnsi="Times New Roman" w:eastAsia="宋体" w:cs="Times New Roman"/>
                <w:szCs w:val="21"/>
              </w:rPr>
            </w:pPr>
          </w:p>
        </w:tc>
        <w:tc>
          <w:tcPr>
            <w:tcW w:w="986"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W</w:t>
            </w:r>
            <w:r>
              <w:rPr>
                <w:rFonts w:ascii="Times New Roman" w:hAnsi="Times New Roman" w:eastAsia="宋体"/>
                <w:szCs w:val="21"/>
              </w:rPr>
              <w:t>1-</w:t>
            </w:r>
            <w:r>
              <w:rPr>
                <w:rFonts w:hint="eastAsia" w:ascii="Times New Roman" w:hAnsi="Times New Roman" w:eastAsia="宋体"/>
                <w:szCs w:val="21"/>
              </w:rPr>
              <w:t>2</w:t>
            </w:r>
          </w:p>
        </w:tc>
        <w:tc>
          <w:tcPr>
            <w:tcW w:w="1883"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陶瓷膜</w:t>
            </w:r>
          </w:p>
        </w:tc>
        <w:tc>
          <w:tcPr>
            <w:tcW w:w="810"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214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Merge w:val="continue"/>
            <w:vAlign w:val="center"/>
          </w:tcPr>
          <w:p>
            <w:pPr>
              <w:spacing w:line="240" w:lineRule="exact"/>
              <w:jc w:val="center"/>
              <w:rPr>
                <w:rFonts w:ascii="Times New Roman" w:hAnsi="Times New Roman" w:eastAsia="宋体" w:cs="Times New Roman"/>
                <w:szCs w:val="21"/>
              </w:rPr>
            </w:pPr>
          </w:p>
        </w:tc>
        <w:tc>
          <w:tcPr>
            <w:tcW w:w="986"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W1-</w:t>
            </w:r>
            <w:r>
              <w:rPr>
                <w:rFonts w:hint="eastAsia" w:ascii="Times New Roman" w:hAnsi="Times New Roman" w:eastAsia="宋体"/>
                <w:szCs w:val="21"/>
              </w:rPr>
              <w:t>3</w:t>
            </w:r>
          </w:p>
        </w:tc>
        <w:tc>
          <w:tcPr>
            <w:tcW w:w="1883"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轻重烃分离塔</w:t>
            </w:r>
          </w:p>
        </w:tc>
        <w:tc>
          <w:tcPr>
            <w:tcW w:w="810"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214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Merge w:val="restart"/>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溶剂精制单元</w:t>
            </w:r>
          </w:p>
        </w:tc>
        <w:tc>
          <w:tcPr>
            <w:tcW w:w="986"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W1-</w:t>
            </w:r>
            <w:r>
              <w:rPr>
                <w:rFonts w:hint="eastAsia" w:ascii="Times New Roman" w:hAnsi="Times New Roman" w:eastAsia="宋体"/>
                <w:szCs w:val="21"/>
              </w:rPr>
              <w:t>4</w:t>
            </w:r>
          </w:p>
        </w:tc>
        <w:tc>
          <w:tcPr>
            <w:tcW w:w="1883"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丙烷脱沥青</w:t>
            </w:r>
          </w:p>
        </w:tc>
        <w:tc>
          <w:tcPr>
            <w:tcW w:w="810"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214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Merge w:val="continue"/>
            <w:vAlign w:val="center"/>
          </w:tcPr>
          <w:p>
            <w:pPr>
              <w:spacing w:line="240" w:lineRule="exact"/>
              <w:jc w:val="center"/>
              <w:rPr>
                <w:rFonts w:ascii="Times New Roman" w:hAnsi="Times New Roman" w:eastAsia="宋体" w:cs="Times New Roman"/>
                <w:szCs w:val="21"/>
              </w:rPr>
            </w:pPr>
          </w:p>
        </w:tc>
        <w:tc>
          <w:tcPr>
            <w:tcW w:w="986"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W</w:t>
            </w:r>
            <w:r>
              <w:rPr>
                <w:rFonts w:ascii="Times New Roman" w:hAnsi="Times New Roman" w:eastAsia="宋体"/>
                <w:szCs w:val="21"/>
              </w:rPr>
              <w:t>1-</w:t>
            </w:r>
            <w:r>
              <w:rPr>
                <w:rFonts w:hint="eastAsia" w:ascii="Times New Roman" w:hAnsi="Times New Roman" w:eastAsia="宋体"/>
                <w:szCs w:val="21"/>
              </w:rPr>
              <w:t>5</w:t>
            </w:r>
          </w:p>
        </w:tc>
        <w:tc>
          <w:tcPr>
            <w:tcW w:w="1883"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糠醛精制</w:t>
            </w:r>
          </w:p>
        </w:tc>
        <w:tc>
          <w:tcPr>
            <w:tcW w:w="810"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214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减压分馏</w:t>
            </w:r>
          </w:p>
        </w:tc>
        <w:tc>
          <w:tcPr>
            <w:tcW w:w="986"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W</w:t>
            </w:r>
            <w:r>
              <w:rPr>
                <w:rFonts w:ascii="Times New Roman" w:hAnsi="Times New Roman" w:eastAsia="宋体"/>
                <w:szCs w:val="21"/>
              </w:rPr>
              <w:t>1-</w:t>
            </w:r>
            <w:r>
              <w:rPr>
                <w:rFonts w:hint="eastAsia" w:ascii="Times New Roman" w:hAnsi="Times New Roman" w:eastAsia="宋体"/>
                <w:szCs w:val="21"/>
              </w:rPr>
              <w:t>6</w:t>
            </w:r>
          </w:p>
        </w:tc>
        <w:tc>
          <w:tcPr>
            <w:tcW w:w="1883"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减压分馏</w:t>
            </w:r>
          </w:p>
        </w:tc>
        <w:tc>
          <w:tcPr>
            <w:tcW w:w="810"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214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循环水池</w:t>
            </w:r>
          </w:p>
        </w:tc>
        <w:tc>
          <w:tcPr>
            <w:tcW w:w="986"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W1-</w:t>
            </w:r>
            <w:r>
              <w:rPr>
                <w:rFonts w:hint="eastAsia" w:ascii="Times New Roman" w:hAnsi="Times New Roman" w:eastAsia="宋体"/>
                <w:szCs w:val="21"/>
              </w:rPr>
              <w:t>7</w:t>
            </w:r>
          </w:p>
        </w:tc>
        <w:tc>
          <w:tcPr>
            <w:tcW w:w="1883"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循环水池外排水</w:t>
            </w:r>
          </w:p>
        </w:tc>
        <w:tc>
          <w:tcPr>
            <w:tcW w:w="810"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W2-</w:t>
            </w:r>
            <w:r>
              <w:rPr>
                <w:rFonts w:hint="eastAsia" w:ascii="Times New Roman" w:hAnsi="Times New Roman" w:eastAsia="宋体"/>
                <w:szCs w:val="21"/>
              </w:rPr>
              <w:t>7</w:t>
            </w:r>
          </w:p>
        </w:tc>
        <w:tc>
          <w:tcPr>
            <w:tcW w:w="214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循环水池外排水</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化验室</w:t>
            </w:r>
          </w:p>
        </w:tc>
        <w:tc>
          <w:tcPr>
            <w:tcW w:w="986"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W1-</w:t>
            </w:r>
            <w:r>
              <w:rPr>
                <w:rFonts w:hint="eastAsia" w:ascii="Times New Roman" w:hAnsi="Times New Roman" w:eastAsia="宋体"/>
                <w:szCs w:val="21"/>
              </w:rPr>
              <w:t>8</w:t>
            </w:r>
          </w:p>
        </w:tc>
        <w:tc>
          <w:tcPr>
            <w:tcW w:w="1883"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化验室废水</w:t>
            </w:r>
          </w:p>
        </w:tc>
        <w:tc>
          <w:tcPr>
            <w:tcW w:w="810"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W2-</w:t>
            </w:r>
            <w:r>
              <w:rPr>
                <w:rFonts w:hint="eastAsia" w:ascii="Times New Roman" w:hAnsi="Times New Roman" w:eastAsia="宋体"/>
                <w:szCs w:val="21"/>
              </w:rPr>
              <w:t>8</w:t>
            </w:r>
          </w:p>
        </w:tc>
        <w:tc>
          <w:tcPr>
            <w:tcW w:w="214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化验室废水</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生活污水</w:t>
            </w:r>
          </w:p>
        </w:tc>
        <w:tc>
          <w:tcPr>
            <w:tcW w:w="986"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W1-</w:t>
            </w:r>
            <w:r>
              <w:rPr>
                <w:rFonts w:hint="eastAsia" w:ascii="Times New Roman" w:hAnsi="Times New Roman" w:eastAsia="宋体"/>
                <w:szCs w:val="21"/>
              </w:rPr>
              <w:t>9</w:t>
            </w:r>
          </w:p>
        </w:tc>
        <w:tc>
          <w:tcPr>
            <w:tcW w:w="1883"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日常生活</w:t>
            </w:r>
            <w:r>
              <w:rPr>
                <w:rFonts w:hint="eastAsia" w:ascii="Times New Roman" w:hAnsi="Times New Roman" w:eastAsia="宋体"/>
                <w:szCs w:val="21"/>
              </w:rPr>
              <w:t>污水</w:t>
            </w:r>
          </w:p>
        </w:tc>
        <w:tc>
          <w:tcPr>
            <w:tcW w:w="810"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W2-</w:t>
            </w:r>
            <w:r>
              <w:rPr>
                <w:rFonts w:hint="eastAsia" w:ascii="Times New Roman" w:hAnsi="Times New Roman" w:eastAsia="宋体"/>
                <w:szCs w:val="21"/>
              </w:rPr>
              <w:t>9</w:t>
            </w:r>
          </w:p>
        </w:tc>
        <w:tc>
          <w:tcPr>
            <w:tcW w:w="2147"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日常生活废水</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地面冲洗</w:t>
            </w:r>
          </w:p>
        </w:tc>
        <w:tc>
          <w:tcPr>
            <w:tcW w:w="986"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W</w:t>
            </w:r>
            <w:r>
              <w:rPr>
                <w:rFonts w:ascii="Times New Roman" w:hAnsi="Times New Roman" w:eastAsia="宋体"/>
                <w:szCs w:val="21"/>
              </w:rPr>
              <w:t>1-</w:t>
            </w:r>
            <w:r>
              <w:rPr>
                <w:rFonts w:hint="eastAsia" w:ascii="Times New Roman" w:hAnsi="Times New Roman" w:eastAsia="宋体"/>
                <w:szCs w:val="21"/>
              </w:rPr>
              <w:t>10</w:t>
            </w:r>
          </w:p>
        </w:tc>
        <w:tc>
          <w:tcPr>
            <w:tcW w:w="1883"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地面冲洗水</w:t>
            </w:r>
          </w:p>
        </w:tc>
        <w:tc>
          <w:tcPr>
            <w:tcW w:w="810"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W</w:t>
            </w:r>
            <w:r>
              <w:rPr>
                <w:rFonts w:ascii="Times New Roman" w:hAnsi="Times New Roman" w:eastAsia="宋体"/>
                <w:szCs w:val="21"/>
              </w:rPr>
              <w:t>2-</w:t>
            </w:r>
            <w:r>
              <w:rPr>
                <w:rFonts w:hint="eastAsia" w:ascii="Times New Roman" w:hAnsi="Times New Roman" w:eastAsia="宋体"/>
                <w:szCs w:val="21"/>
              </w:rPr>
              <w:t>10</w:t>
            </w:r>
          </w:p>
        </w:tc>
        <w:tc>
          <w:tcPr>
            <w:tcW w:w="214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地面冲洗水</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罐区</w:t>
            </w:r>
          </w:p>
        </w:tc>
        <w:tc>
          <w:tcPr>
            <w:tcW w:w="986"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W</w:t>
            </w:r>
            <w:r>
              <w:rPr>
                <w:rFonts w:ascii="Times New Roman" w:hAnsi="Times New Roman" w:eastAsia="宋体"/>
                <w:szCs w:val="21"/>
              </w:rPr>
              <w:t>1-</w:t>
            </w:r>
            <w:r>
              <w:rPr>
                <w:rFonts w:hint="eastAsia" w:ascii="Times New Roman" w:hAnsi="Times New Roman" w:eastAsia="宋体"/>
                <w:szCs w:val="21"/>
              </w:rPr>
              <w:t>11</w:t>
            </w:r>
          </w:p>
        </w:tc>
        <w:tc>
          <w:tcPr>
            <w:tcW w:w="1883"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罐区废水</w:t>
            </w:r>
          </w:p>
        </w:tc>
        <w:tc>
          <w:tcPr>
            <w:tcW w:w="810"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W</w:t>
            </w:r>
            <w:r>
              <w:rPr>
                <w:rFonts w:ascii="Times New Roman" w:hAnsi="Times New Roman" w:eastAsia="宋体"/>
                <w:szCs w:val="21"/>
              </w:rPr>
              <w:t>2-</w:t>
            </w:r>
            <w:r>
              <w:rPr>
                <w:rFonts w:hint="eastAsia" w:ascii="Times New Roman" w:hAnsi="Times New Roman" w:eastAsia="宋体"/>
                <w:szCs w:val="21"/>
              </w:rPr>
              <w:t>11</w:t>
            </w:r>
          </w:p>
        </w:tc>
        <w:tc>
          <w:tcPr>
            <w:tcW w:w="214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罐区废水</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固废</w:t>
            </w:r>
          </w:p>
        </w:tc>
        <w:tc>
          <w:tcPr>
            <w:tcW w:w="127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脱固脱水器</w:t>
            </w:r>
          </w:p>
        </w:tc>
        <w:tc>
          <w:tcPr>
            <w:tcW w:w="986"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S</w:t>
            </w:r>
            <w:r>
              <w:rPr>
                <w:rFonts w:ascii="Times New Roman" w:hAnsi="Times New Roman" w:eastAsia="宋体"/>
                <w:szCs w:val="21"/>
              </w:rPr>
              <w:t>1-</w:t>
            </w:r>
            <w:r>
              <w:rPr>
                <w:rFonts w:hint="eastAsia" w:ascii="Times New Roman" w:hAnsi="Times New Roman" w:eastAsia="宋体"/>
                <w:szCs w:val="21"/>
              </w:rPr>
              <w:t>1</w:t>
            </w:r>
          </w:p>
        </w:tc>
        <w:tc>
          <w:tcPr>
            <w:tcW w:w="1883"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含油残渣</w:t>
            </w:r>
          </w:p>
        </w:tc>
        <w:tc>
          <w:tcPr>
            <w:tcW w:w="810"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S</w:t>
            </w:r>
            <w:r>
              <w:rPr>
                <w:rFonts w:ascii="Times New Roman" w:hAnsi="Times New Roman" w:eastAsia="宋体"/>
                <w:szCs w:val="21"/>
              </w:rPr>
              <w:t>2-</w:t>
            </w:r>
            <w:r>
              <w:rPr>
                <w:rFonts w:hint="eastAsia" w:ascii="Times New Roman" w:hAnsi="Times New Roman" w:eastAsia="宋体"/>
                <w:szCs w:val="21"/>
              </w:rPr>
              <w:t>1</w:t>
            </w:r>
          </w:p>
        </w:tc>
        <w:tc>
          <w:tcPr>
            <w:tcW w:w="214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含油残渣</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陶瓷膜</w:t>
            </w:r>
          </w:p>
        </w:tc>
        <w:tc>
          <w:tcPr>
            <w:tcW w:w="986"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S</w:t>
            </w:r>
            <w:r>
              <w:rPr>
                <w:rFonts w:ascii="Times New Roman" w:hAnsi="Times New Roman" w:eastAsia="宋体"/>
                <w:szCs w:val="21"/>
              </w:rPr>
              <w:t>1-</w:t>
            </w:r>
            <w:r>
              <w:rPr>
                <w:rFonts w:hint="eastAsia" w:ascii="Times New Roman" w:hAnsi="Times New Roman" w:eastAsia="宋体"/>
                <w:szCs w:val="21"/>
              </w:rPr>
              <w:t>2</w:t>
            </w:r>
          </w:p>
        </w:tc>
        <w:tc>
          <w:tcPr>
            <w:tcW w:w="1883"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含油残渣</w:t>
            </w:r>
          </w:p>
        </w:tc>
        <w:tc>
          <w:tcPr>
            <w:tcW w:w="810"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214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分子筛吸附</w:t>
            </w:r>
          </w:p>
        </w:tc>
        <w:tc>
          <w:tcPr>
            <w:tcW w:w="986"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S1-3</w:t>
            </w:r>
          </w:p>
        </w:tc>
        <w:tc>
          <w:tcPr>
            <w:tcW w:w="1883"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含油残渣</w:t>
            </w:r>
          </w:p>
        </w:tc>
        <w:tc>
          <w:tcPr>
            <w:tcW w:w="810"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S2-2</w:t>
            </w:r>
          </w:p>
        </w:tc>
        <w:tc>
          <w:tcPr>
            <w:tcW w:w="214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含油残渣</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污水处理站</w:t>
            </w:r>
          </w:p>
        </w:tc>
        <w:tc>
          <w:tcPr>
            <w:tcW w:w="986"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S1-</w:t>
            </w:r>
            <w:r>
              <w:rPr>
                <w:rFonts w:hint="eastAsia" w:ascii="Times New Roman" w:hAnsi="Times New Roman" w:eastAsia="宋体"/>
                <w:szCs w:val="21"/>
              </w:rPr>
              <w:t>4</w:t>
            </w:r>
          </w:p>
        </w:tc>
        <w:tc>
          <w:tcPr>
            <w:tcW w:w="1883"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含油污泥</w:t>
            </w:r>
          </w:p>
        </w:tc>
        <w:tc>
          <w:tcPr>
            <w:tcW w:w="810"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S2-</w:t>
            </w:r>
            <w:r>
              <w:rPr>
                <w:rFonts w:hint="eastAsia" w:ascii="Times New Roman" w:hAnsi="Times New Roman" w:eastAsia="宋体"/>
                <w:szCs w:val="21"/>
              </w:rPr>
              <w:t>4</w:t>
            </w:r>
          </w:p>
        </w:tc>
        <w:tc>
          <w:tcPr>
            <w:tcW w:w="214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含油污泥</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装卸平台</w:t>
            </w:r>
          </w:p>
        </w:tc>
        <w:tc>
          <w:tcPr>
            <w:tcW w:w="986"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S1-</w:t>
            </w:r>
            <w:r>
              <w:rPr>
                <w:rFonts w:hint="eastAsia" w:ascii="Times New Roman" w:hAnsi="Times New Roman" w:eastAsia="宋体"/>
                <w:szCs w:val="21"/>
              </w:rPr>
              <w:t>5</w:t>
            </w:r>
          </w:p>
        </w:tc>
        <w:tc>
          <w:tcPr>
            <w:tcW w:w="1883"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废活性炭</w:t>
            </w:r>
          </w:p>
        </w:tc>
        <w:tc>
          <w:tcPr>
            <w:tcW w:w="810" w:type="dxa"/>
            <w:vAlign w:val="center"/>
          </w:tcPr>
          <w:p>
            <w:pPr>
              <w:spacing w:line="240" w:lineRule="exact"/>
              <w:jc w:val="center"/>
              <w:rPr>
                <w:rFonts w:ascii="Times New Roman" w:hAnsi="Times New Roman" w:eastAsia="宋体"/>
                <w:szCs w:val="21"/>
              </w:rPr>
            </w:pPr>
            <w:r>
              <w:rPr>
                <w:rFonts w:ascii="Times New Roman" w:hAnsi="Times New Roman" w:eastAsia="宋体"/>
                <w:szCs w:val="21"/>
              </w:rPr>
              <w:t>S2-</w:t>
            </w:r>
            <w:r>
              <w:rPr>
                <w:rFonts w:hint="eastAsia" w:ascii="Times New Roman" w:hAnsi="Times New Roman" w:eastAsia="宋体"/>
                <w:szCs w:val="21"/>
              </w:rPr>
              <w:t>5</w:t>
            </w:r>
          </w:p>
        </w:tc>
        <w:tc>
          <w:tcPr>
            <w:tcW w:w="214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废活性炭</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vAlign w:val="center"/>
          </w:tcPr>
          <w:p>
            <w:pPr>
              <w:spacing w:line="240" w:lineRule="exact"/>
              <w:jc w:val="center"/>
              <w:rPr>
                <w:rFonts w:ascii="Times New Roman" w:hAnsi="Times New Roman" w:eastAsia="宋体" w:cs="Times New Roman"/>
                <w:szCs w:val="21"/>
              </w:rPr>
            </w:pPr>
          </w:p>
        </w:tc>
        <w:tc>
          <w:tcPr>
            <w:tcW w:w="127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生活垃圾</w:t>
            </w:r>
          </w:p>
        </w:tc>
        <w:tc>
          <w:tcPr>
            <w:tcW w:w="986"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S</w:t>
            </w:r>
            <w:r>
              <w:rPr>
                <w:rFonts w:ascii="Times New Roman" w:hAnsi="Times New Roman" w:eastAsia="宋体"/>
                <w:szCs w:val="21"/>
              </w:rPr>
              <w:t>1-</w:t>
            </w:r>
            <w:r>
              <w:rPr>
                <w:rFonts w:hint="eastAsia" w:ascii="Times New Roman" w:hAnsi="Times New Roman" w:eastAsia="宋体"/>
                <w:szCs w:val="21"/>
              </w:rPr>
              <w:t>6</w:t>
            </w:r>
          </w:p>
        </w:tc>
        <w:tc>
          <w:tcPr>
            <w:tcW w:w="1883"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生活垃圾</w:t>
            </w:r>
          </w:p>
        </w:tc>
        <w:tc>
          <w:tcPr>
            <w:tcW w:w="810"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S</w:t>
            </w:r>
            <w:r>
              <w:rPr>
                <w:rFonts w:ascii="Times New Roman" w:hAnsi="Times New Roman" w:eastAsia="宋体"/>
                <w:szCs w:val="21"/>
              </w:rPr>
              <w:t>2-</w:t>
            </w:r>
            <w:r>
              <w:rPr>
                <w:rFonts w:hint="eastAsia" w:ascii="Times New Roman" w:hAnsi="Times New Roman" w:eastAsia="宋体"/>
                <w:szCs w:val="21"/>
              </w:rPr>
              <w:t>6</w:t>
            </w:r>
          </w:p>
        </w:tc>
        <w:tc>
          <w:tcPr>
            <w:tcW w:w="2147" w:type="dxa"/>
            <w:vAlign w:val="center"/>
          </w:tcPr>
          <w:p>
            <w:pPr>
              <w:spacing w:line="240" w:lineRule="exact"/>
              <w:jc w:val="center"/>
              <w:rPr>
                <w:rFonts w:ascii="Times New Roman" w:hAnsi="Times New Roman" w:eastAsia="宋体"/>
                <w:szCs w:val="21"/>
              </w:rPr>
            </w:pPr>
            <w:r>
              <w:rPr>
                <w:rFonts w:hint="eastAsia" w:ascii="Times New Roman" w:hAnsi="Times New Roman" w:eastAsia="宋体"/>
                <w:szCs w:val="21"/>
              </w:rPr>
              <w:t>生活垃圾</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噪声</w:t>
            </w:r>
          </w:p>
        </w:tc>
        <w:tc>
          <w:tcPr>
            <w:tcW w:w="127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szCs w:val="21"/>
              </w:rPr>
              <w:t>机械噪声</w:t>
            </w:r>
          </w:p>
        </w:tc>
        <w:tc>
          <w:tcPr>
            <w:tcW w:w="2869" w:type="dxa"/>
            <w:gridSpan w:val="2"/>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szCs w:val="21"/>
              </w:rPr>
              <w:t>风机、空压机、泵机</w:t>
            </w:r>
            <w:r>
              <w:rPr>
                <w:rFonts w:ascii="Times New Roman" w:hAnsi="Times New Roman" w:eastAsia="宋体"/>
                <w:szCs w:val="21"/>
              </w:rPr>
              <w:t>等</w:t>
            </w:r>
          </w:p>
        </w:tc>
        <w:tc>
          <w:tcPr>
            <w:tcW w:w="2957" w:type="dxa"/>
            <w:gridSpan w:val="2"/>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szCs w:val="21"/>
              </w:rPr>
              <w:t>风机、空压机、泵机</w:t>
            </w:r>
            <w:r>
              <w:rPr>
                <w:rFonts w:ascii="Times New Roman" w:hAnsi="Times New Roman" w:eastAsia="宋体"/>
                <w:szCs w:val="21"/>
              </w:rPr>
              <w:t>等</w:t>
            </w:r>
          </w:p>
        </w:tc>
        <w:tc>
          <w:tcPr>
            <w:tcW w:w="767"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有，</w:t>
            </w:r>
            <w:r>
              <w:rPr>
                <w:rFonts w:ascii="Times New Roman" w:hAnsi="Times New Roman" w:eastAsia="宋体" w:cs="Times New Roman"/>
                <w:szCs w:val="21"/>
              </w:rPr>
              <w:t>数量</w:t>
            </w:r>
            <w:r>
              <w:rPr>
                <w:rFonts w:hint="eastAsia" w:ascii="Times New Roman" w:hAnsi="Times New Roman" w:eastAsia="宋体" w:cs="Times New Roman"/>
                <w:szCs w:val="21"/>
              </w:rPr>
              <w:t>减少</w:t>
            </w:r>
          </w:p>
        </w:tc>
      </w:tr>
    </w:tbl>
    <w:p>
      <w:pPr>
        <w:spacing w:line="480" w:lineRule="exact"/>
        <w:ind w:firstLine="480" w:firstLineChars="200"/>
        <w:rPr>
          <w:rFonts w:ascii="Times New Roman" w:hAnsi="Times New Roman" w:eastAsia="宋体" w:cs="Times New Roman"/>
          <w:sz w:val="24"/>
          <w:szCs w:val="24"/>
        </w:rPr>
      </w:pPr>
    </w:p>
    <w:p>
      <w:pPr>
        <w:pStyle w:val="39"/>
        <w:rPr>
          <w:color w:val="auto"/>
        </w:rPr>
      </w:pPr>
      <w:bookmarkStart w:id="41" w:name="_Toc8391543"/>
      <w:r>
        <w:rPr>
          <w:rFonts w:hint="eastAsia"/>
          <w:color w:val="auto"/>
        </w:rPr>
        <w:t>3.</w:t>
      </w:r>
      <w:r>
        <w:rPr>
          <w:color w:val="auto"/>
        </w:rPr>
        <w:t xml:space="preserve">7 </w:t>
      </w:r>
      <w:r>
        <w:rPr>
          <w:rFonts w:hint="eastAsia"/>
          <w:color w:val="auto"/>
        </w:rPr>
        <w:t>物料平衡</w:t>
      </w:r>
      <w:bookmarkEnd w:id="41"/>
    </w:p>
    <w:p>
      <w:pPr>
        <w:spacing w:line="480" w:lineRule="exact"/>
        <w:ind w:right="84" w:firstLine="482"/>
        <w:rPr>
          <w:rFonts w:ascii="Times New Roman" w:hAnsi="Times New Roman" w:eastAsia="宋体"/>
          <w:kern w:val="0"/>
          <w:sz w:val="24"/>
          <w:szCs w:val="24"/>
        </w:rPr>
        <w:sectPr>
          <w:pgSz w:w="11906" w:h="16838"/>
          <w:pgMar w:top="1440" w:right="1800" w:bottom="1440" w:left="1800" w:header="851" w:footer="992" w:gutter="0"/>
          <w:cols w:space="425" w:num="1"/>
          <w:docGrid w:type="lines" w:linePitch="312" w:charSpace="0"/>
        </w:sectPr>
      </w:pPr>
      <w:r>
        <w:rPr>
          <w:rFonts w:ascii="Times New Roman" w:hAnsi="Times New Roman" w:eastAsia="宋体"/>
          <w:kern w:val="0"/>
          <w:sz w:val="24"/>
          <w:szCs w:val="24"/>
        </w:rPr>
        <w:t>本项目废矿物油的来源行业相对广泛，原料成分比例存在一定的波动性，实际生产过程中需根据油品质的检验结果，调整工艺过程参数以确保产品质量及回收率。废矿物油综合处理</w:t>
      </w:r>
      <w:r>
        <w:rPr>
          <w:rFonts w:hint="eastAsia" w:ascii="Times New Roman" w:hAnsi="Times New Roman" w:eastAsia="宋体"/>
          <w:kern w:val="0"/>
          <w:sz w:val="24"/>
          <w:szCs w:val="24"/>
        </w:rPr>
        <w:t>项目变更前后，</w:t>
      </w:r>
      <w:r>
        <w:rPr>
          <w:rFonts w:ascii="Times New Roman" w:hAnsi="Times New Roman" w:eastAsia="宋体"/>
          <w:kern w:val="0"/>
          <w:sz w:val="24"/>
          <w:szCs w:val="24"/>
        </w:rPr>
        <w:t>全物料平衡</w:t>
      </w:r>
      <w:r>
        <w:rPr>
          <w:rFonts w:hint="eastAsia" w:ascii="Times New Roman" w:hAnsi="Times New Roman" w:eastAsia="宋体"/>
          <w:kern w:val="0"/>
          <w:sz w:val="24"/>
          <w:szCs w:val="24"/>
        </w:rPr>
        <w:t>和产排污情况分别见</w:t>
      </w:r>
      <w:r>
        <w:rPr>
          <w:rFonts w:ascii="Times New Roman" w:hAnsi="Times New Roman" w:eastAsia="宋体"/>
          <w:kern w:val="0"/>
          <w:sz w:val="24"/>
          <w:szCs w:val="24"/>
        </w:rPr>
        <w:t>图</w:t>
      </w:r>
      <w:r>
        <w:rPr>
          <w:rFonts w:hint="eastAsia" w:ascii="Times New Roman" w:hAnsi="Times New Roman" w:eastAsia="宋体"/>
          <w:kern w:val="0"/>
          <w:sz w:val="24"/>
          <w:szCs w:val="24"/>
        </w:rPr>
        <w:t>3.</w:t>
      </w:r>
      <w:r>
        <w:rPr>
          <w:rFonts w:ascii="Times New Roman" w:hAnsi="Times New Roman" w:eastAsia="宋体"/>
          <w:kern w:val="0"/>
          <w:sz w:val="24"/>
          <w:szCs w:val="24"/>
        </w:rPr>
        <w:t>7-1</w:t>
      </w:r>
      <w:r>
        <w:rPr>
          <w:rFonts w:hint="eastAsia" w:ascii="Times New Roman" w:hAnsi="Times New Roman" w:eastAsia="宋体"/>
          <w:kern w:val="0"/>
          <w:sz w:val="24"/>
          <w:szCs w:val="24"/>
        </w:rPr>
        <w:t>和</w:t>
      </w:r>
      <w:r>
        <w:rPr>
          <w:rFonts w:ascii="Times New Roman" w:hAnsi="Times New Roman" w:eastAsia="宋体"/>
          <w:kern w:val="0"/>
          <w:sz w:val="24"/>
          <w:szCs w:val="24"/>
        </w:rPr>
        <w:t>图</w:t>
      </w:r>
      <w:r>
        <w:rPr>
          <w:rFonts w:hint="eastAsia" w:ascii="Times New Roman" w:hAnsi="Times New Roman" w:eastAsia="宋体"/>
          <w:kern w:val="0"/>
          <w:sz w:val="24"/>
          <w:szCs w:val="24"/>
        </w:rPr>
        <w:t>3.</w:t>
      </w:r>
      <w:r>
        <w:rPr>
          <w:rFonts w:ascii="Times New Roman" w:hAnsi="Times New Roman" w:eastAsia="宋体"/>
          <w:kern w:val="0"/>
          <w:sz w:val="24"/>
          <w:szCs w:val="24"/>
        </w:rPr>
        <w:t>7-2。</w:t>
      </w:r>
    </w:p>
    <w:p/>
    <w:p>
      <w:pPr>
        <w:jc w:val="center"/>
      </w:pPr>
    </w:p>
    <w:p>
      <w:pPr>
        <w:jc w:val="center"/>
      </w:pPr>
      <w:r>
        <w:object>
          <v:shape id="_x0000_i1026" o:spt="75" type="#_x0000_t75" style="height:300pt;width:534.85pt;" o:ole="t" filled="f" o:preferrelative="t" stroked="f" coordsize="21600,21600">
            <v:path/>
            <v:fill on="f" focussize="0,0"/>
            <v:stroke on="f" joinstyle="miter"/>
            <v:imagedata r:id="rId13" o:title=""/>
            <o:lock v:ext="edit" aspectratio="t"/>
            <w10:wrap type="none"/>
            <w10:anchorlock/>
          </v:shape>
          <o:OLEObject Type="Embed" ProgID="Visio.Drawing.11" ShapeID="_x0000_i1026" DrawAspect="Content" ObjectID="_1468075728" r:id="rId12">
            <o:LockedField>false</o:LockedField>
          </o:OLEObject>
        </w:object>
      </w:r>
    </w:p>
    <w:p>
      <w:pPr>
        <w:pStyle w:val="50"/>
        <w:ind w:firstLine="0" w:firstLineChars="0"/>
        <w:rPr>
          <w:color w:val="auto"/>
        </w:rPr>
      </w:pPr>
      <w:r>
        <w:rPr>
          <w:rFonts w:hint="eastAsia"/>
          <w:color w:val="auto"/>
        </w:rPr>
        <w:t>图</w:t>
      </w:r>
      <w:r>
        <w:rPr>
          <w:color w:val="auto"/>
        </w:rPr>
        <w:t>3.7-1</w:t>
      </w:r>
      <w:r>
        <w:rPr>
          <w:rFonts w:hint="eastAsia"/>
          <w:color w:val="auto"/>
        </w:rPr>
        <w:t xml:space="preserve">   变更前物料平衡图    单位：</w:t>
      </w:r>
      <w:r>
        <w:rPr>
          <w:color w:val="auto"/>
        </w:rPr>
        <w:t>kg/h</w:t>
      </w:r>
    </w:p>
    <w:p/>
    <w:p/>
    <w:p>
      <w:pPr>
        <w:jc w:val="center"/>
      </w:pPr>
    </w:p>
    <w:p>
      <w:pPr>
        <w:jc w:val="center"/>
      </w:pPr>
      <w:r>
        <w:object>
          <v:shape id="_x0000_i1027" o:spt="75" type="#_x0000_t75" style="height:235.7pt;width:630.85pt;" o:ole="t" filled="f" o:preferrelative="t" stroked="f" coordsize="21600,21600">
            <v:path/>
            <v:fill on="f" focussize="0,0"/>
            <v:stroke on="f" joinstyle="miter"/>
            <v:imagedata r:id="rId15" o:title=""/>
            <o:lock v:ext="edit" aspectratio="t"/>
            <w10:wrap type="none"/>
            <w10:anchorlock/>
          </v:shape>
          <o:OLEObject Type="Embed" ProgID="Visio.Drawing.11" ShapeID="_x0000_i1027" DrawAspect="Content" ObjectID="_1468075729" r:id="rId14">
            <o:LockedField>false</o:LockedField>
          </o:OLEObject>
        </w:object>
      </w:r>
    </w:p>
    <w:p>
      <w:pPr>
        <w:pStyle w:val="50"/>
        <w:ind w:firstLine="0" w:firstLineChars="0"/>
        <w:rPr>
          <w:color w:val="auto"/>
        </w:rPr>
      </w:pPr>
      <w:r>
        <w:rPr>
          <w:rFonts w:hint="eastAsia"/>
          <w:color w:val="auto"/>
        </w:rPr>
        <w:t>图3.7-</w:t>
      </w:r>
      <w:r>
        <w:rPr>
          <w:color w:val="auto"/>
        </w:rPr>
        <w:t>2</w:t>
      </w:r>
      <w:r>
        <w:rPr>
          <w:rFonts w:hint="eastAsia"/>
          <w:color w:val="auto"/>
        </w:rPr>
        <w:t xml:space="preserve">   变更后物料平衡图            单位：</w:t>
      </w:r>
      <w:r>
        <w:rPr>
          <w:color w:val="auto"/>
        </w:rPr>
        <w:t>kg/h</w:t>
      </w:r>
    </w:p>
    <w:p/>
    <w:p/>
    <w:p>
      <w:pPr>
        <w:sectPr>
          <w:pgSz w:w="16838" w:h="11906" w:orient="landscape"/>
          <w:pgMar w:top="1800" w:right="1440" w:bottom="1800" w:left="1440" w:header="851" w:footer="992" w:gutter="0"/>
          <w:cols w:space="425" w:num="1"/>
          <w:docGrid w:type="lines" w:linePitch="312" w:charSpace="0"/>
        </w:sectPr>
      </w:pPr>
    </w:p>
    <w:p>
      <w:pPr>
        <w:pStyle w:val="39"/>
        <w:rPr>
          <w:color w:val="auto"/>
        </w:rPr>
      </w:pPr>
      <w:bookmarkStart w:id="42" w:name="_Toc8391544"/>
      <w:r>
        <w:rPr>
          <w:rFonts w:hint="eastAsia"/>
          <w:color w:val="auto"/>
        </w:rPr>
        <w:t>3.</w:t>
      </w:r>
      <w:r>
        <w:rPr>
          <w:color w:val="auto"/>
        </w:rPr>
        <w:t>8</w:t>
      </w:r>
      <w:r>
        <w:rPr>
          <w:rFonts w:hint="eastAsia"/>
          <w:color w:val="auto"/>
        </w:rPr>
        <w:t xml:space="preserve"> 变更前后污染物排放情况分析</w:t>
      </w:r>
      <w:bookmarkEnd w:id="42"/>
    </w:p>
    <w:p>
      <w:pPr>
        <w:pStyle w:val="40"/>
        <w:rPr>
          <w:snapToGrid w:val="0"/>
          <w:color w:val="auto"/>
        </w:rPr>
      </w:pPr>
      <w:bookmarkStart w:id="43" w:name="_Toc8391545"/>
      <w:r>
        <w:rPr>
          <w:rFonts w:hint="eastAsia"/>
          <w:snapToGrid w:val="0"/>
          <w:color w:val="auto"/>
        </w:rPr>
        <w:t>3.</w:t>
      </w:r>
      <w:r>
        <w:rPr>
          <w:snapToGrid w:val="0"/>
          <w:color w:val="auto"/>
        </w:rPr>
        <w:t>8</w:t>
      </w:r>
      <w:r>
        <w:rPr>
          <w:rFonts w:hint="eastAsia"/>
          <w:snapToGrid w:val="0"/>
          <w:color w:val="auto"/>
        </w:rPr>
        <w:t>.1 废气</w:t>
      </w:r>
      <w:bookmarkEnd w:id="43"/>
    </w:p>
    <w:p>
      <w:pPr>
        <w:pStyle w:val="33"/>
        <w:jc w:val="both"/>
        <w:rPr>
          <w:color w:val="auto"/>
        </w:rPr>
      </w:pPr>
      <w:r>
        <w:rPr>
          <w:rFonts w:hint="eastAsia"/>
          <w:color w:val="auto"/>
        </w:rPr>
        <w:t>3.8.1.1 有组织废气</w:t>
      </w:r>
    </w:p>
    <w:p>
      <w:pPr>
        <w:spacing w:line="480" w:lineRule="exact"/>
        <w:ind w:firstLine="482" w:firstLineChars="200"/>
        <w:rPr>
          <w:rFonts w:ascii="Times New Roman" w:hAnsi="Times New Roman" w:eastAsia="宋体"/>
          <w:b/>
          <w:kern w:val="0"/>
          <w:sz w:val="24"/>
          <w:szCs w:val="24"/>
        </w:rPr>
      </w:pPr>
      <w:r>
        <w:rPr>
          <w:rFonts w:hint="eastAsia" w:ascii="Times New Roman" w:hAnsi="Times New Roman" w:eastAsia="宋体"/>
          <w:b/>
          <w:kern w:val="0"/>
          <w:sz w:val="24"/>
          <w:szCs w:val="24"/>
        </w:rPr>
        <w:t>（1</w:t>
      </w:r>
      <w:r>
        <w:rPr>
          <w:rFonts w:ascii="Times New Roman" w:hAnsi="Times New Roman" w:eastAsia="宋体"/>
          <w:b/>
          <w:kern w:val="0"/>
          <w:sz w:val="24"/>
          <w:szCs w:val="24"/>
        </w:rPr>
        <w:t>）</w:t>
      </w:r>
      <w:r>
        <w:rPr>
          <w:rFonts w:hint="eastAsia" w:ascii="Times New Roman" w:hAnsi="Times New Roman" w:eastAsia="宋体"/>
          <w:b/>
          <w:kern w:val="0"/>
          <w:sz w:val="24"/>
          <w:szCs w:val="24"/>
        </w:rPr>
        <w:t>不凝气</w:t>
      </w:r>
    </w:p>
    <w:p>
      <w:pPr>
        <w:spacing w:line="480" w:lineRule="exact"/>
        <w:ind w:firstLine="482" w:firstLineChars="200"/>
        <w:rPr>
          <w:rFonts w:ascii="Times New Roman" w:hAnsi="Times New Roman" w:eastAsia="宋体"/>
          <w:b/>
          <w:kern w:val="0"/>
          <w:sz w:val="24"/>
          <w:szCs w:val="24"/>
        </w:rPr>
      </w:pPr>
      <w:r>
        <w:rPr>
          <w:rFonts w:hint="eastAsia" w:ascii="Times New Roman" w:hAnsi="Times New Roman" w:eastAsia="宋体"/>
          <w:b/>
          <w:kern w:val="0"/>
          <w:sz w:val="24"/>
          <w:szCs w:val="24"/>
        </w:rPr>
        <w:t>根据项目变更前后</w:t>
      </w:r>
      <w:r>
        <w:rPr>
          <w:rFonts w:ascii="Times New Roman" w:hAnsi="Times New Roman" w:eastAsia="宋体"/>
          <w:b/>
          <w:kern w:val="0"/>
          <w:sz w:val="24"/>
          <w:szCs w:val="24"/>
        </w:rPr>
        <w:t>物料</w:t>
      </w:r>
      <w:r>
        <w:rPr>
          <w:rFonts w:hint="eastAsia" w:ascii="Times New Roman" w:hAnsi="Times New Roman" w:eastAsia="宋体"/>
          <w:b/>
          <w:kern w:val="0"/>
          <w:sz w:val="24"/>
          <w:szCs w:val="24"/>
        </w:rPr>
        <w:t>平衡情况可以看出，</w:t>
      </w:r>
      <w:r>
        <w:rPr>
          <w:rFonts w:ascii="Times New Roman" w:hAnsi="Times New Roman" w:eastAsia="宋体"/>
          <w:b/>
          <w:kern w:val="0"/>
          <w:sz w:val="24"/>
          <w:szCs w:val="24"/>
        </w:rPr>
        <w:t>变更</w:t>
      </w:r>
      <w:r>
        <w:rPr>
          <w:rFonts w:hint="eastAsia" w:ascii="Times New Roman" w:hAnsi="Times New Roman" w:eastAsia="宋体"/>
          <w:b/>
          <w:kern w:val="0"/>
          <w:sz w:val="24"/>
          <w:szCs w:val="24"/>
        </w:rPr>
        <w:t>前后，废矿物油</w:t>
      </w:r>
      <w:r>
        <w:rPr>
          <w:rFonts w:ascii="Times New Roman" w:hAnsi="Times New Roman" w:eastAsia="宋体"/>
          <w:b/>
          <w:kern w:val="0"/>
          <w:sz w:val="24"/>
          <w:szCs w:val="24"/>
        </w:rPr>
        <w:t>原料</w:t>
      </w:r>
      <w:r>
        <w:rPr>
          <w:rFonts w:hint="eastAsia" w:ascii="Times New Roman" w:hAnsi="Times New Roman" w:eastAsia="宋体"/>
          <w:b/>
          <w:kern w:val="0"/>
          <w:sz w:val="24"/>
          <w:szCs w:val="24"/>
        </w:rPr>
        <w:t>类别变化不大，且处理量不变，生产过程中产生的不凝气成分和气量基本不变。</w:t>
      </w:r>
    </w:p>
    <w:p>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根据物料平衡，本项目生产过程产生的不凝气为</w:t>
      </w:r>
      <w:r>
        <w:rPr>
          <w:rFonts w:ascii="Times New Roman" w:hAnsi="Times New Roman" w:eastAsia="宋体"/>
          <w:kern w:val="0"/>
          <w:sz w:val="24"/>
          <w:szCs w:val="24"/>
        </w:rPr>
        <w:t>120kg/h</w:t>
      </w:r>
      <w:r>
        <w:rPr>
          <w:rFonts w:hint="eastAsia" w:ascii="Times New Roman" w:hAnsi="Times New Roman" w:eastAsia="宋体"/>
          <w:kern w:val="0"/>
          <w:sz w:val="24"/>
          <w:szCs w:val="24"/>
        </w:rPr>
        <w:t>，进入减压炉总的</w:t>
      </w:r>
      <w:r>
        <w:rPr>
          <w:rFonts w:ascii="Times New Roman" w:hAnsi="Times New Roman" w:eastAsia="宋体"/>
          <w:kern w:val="0"/>
          <w:sz w:val="24"/>
          <w:szCs w:val="24"/>
        </w:rPr>
        <w:t>抽气量为</w:t>
      </w:r>
      <w:r>
        <w:rPr>
          <w:rFonts w:hint="eastAsia" w:ascii="Times New Roman" w:hAnsi="Times New Roman" w:eastAsia="宋体"/>
          <w:kern w:val="0"/>
          <w:sz w:val="24"/>
          <w:szCs w:val="24"/>
        </w:rPr>
        <w:t>2.9N</w:t>
      </w:r>
      <w:r>
        <w:rPr>
          <w:rFonts w:ascii="Times New Roman" w:hAnsi="Times New Roman" w:eastAsia="宋体"/>
          <w:kern w:val="0"/>
          <w:sz w:val="24"/>
          <w:szCs w:val="24"/>
        </w:rPr>
        <w:t>m³/min（</w:t>
      </w:r>
      <w:r>
        <w:rPr>
          <w:rFonts w:hint="eastAsia" w:ascii="Times New Roman" w:hAnsi="Times New Roman" w:eastAsia="宋体"/>
          <w:kern w:val="0"/>
          <w:sz w:val="24"/>
          <w:szCs w:val="24"/>
        </w:rPr>
        <w:t>174N</w:t>
      </w:r>
      <w:r>
        <w:rPr>
          <w:rFonts w:ascii="Times New Roman" w:hAnsi="Times New Roman" w:eastAsia="宋体"/>
          <w:kern w:val="0"/>
          <w:sz w:val="24"/>
          <w:szCs w:val="24"/>
        </w:rPr>
        <w:t>m³/h）</w:t>
      </w:r>
      <w:r>
        <w:rPr>
          <w:rFonts w:hint="eastAsia" w:ascii="Times New Roman" w:hAnsi="Times New Roman" w:eastAsia="宋体"/>
          <w:kern w:val="0"/>
          <w:sz w:val="24"/>
          <w:szCs w:val="24"/>
        </w:rPr>
        <w:t>。</w:t>
      </w:r>
    </w:p>
    <w:p>
      <w:pPr>
        <w:spacing w:line="480" w:lineRule="exact"/>
        <w:ind w:firstLine="482" w:firstLineChars="200"/>
        <w:rPr>
          <w:rFonts w:ascii="Times New Roman" w:hAnsi="Times New Roman" w:eastAsia="宋体"/>
          <w:b/>
          <w:kern w:val="0"/>
          <w:sz w:val="24"/>
          <w:szCs w:val="24"/>
        </w:rPr>
      </w:pPr>
      <w:r>
        <w:rPr>
          <w:rFonts w:hint="eastAsia" w:ascii="Times New Roman" w:hAnsi="Times New Roman" w:eastAsia="宋体"/>
          <w:b/>
          <w:kern w:val="0"/>
          <w:sz w:val="24"/>
          <w:szCs w:val="24"/>
        </w:rPr>
        <w:t>（2</w:t>
      </w:r>
      <w:r>
        <w:rPr>
          <w:rFonts w:ascii="Times New Roman" w:hAnsi="Times New Roman" w:eastAsia="宋体"/>
          <w:b/>
          <w:kern w:val="0"/>
          <w:sz w:val="24"/>
          <w:szCs w:val="24"/>
        </w:rPr>
        <w:t>）</w:t>
      </w:r>
      <w:r>
        <w:rPr>
          <w:rFonts w:hint="eastAsia" w:ascii="Times New Roman" w:hAnsi="Times New Roman" w:eastAsia="宋体"/>
          <w:b/>
          <w:kern w:val="0"/>
          <w:sz w:val="24"/>
          <w:szCs w:val="24"/>
        </w:rPr>
        <w:t>减压炉废气</w:t>
      </w:r>
    </w:p>
    <w:p>
      <w:pPr>
        <w:spacing w:line="480" w:lineRule="exact"/>
        <w:ind w:firstLine="482" w:firstLineChars="200"/>
        <w:rPr>
          <w:rFonts w:ascii="Times New Roman" w:hAnsi="Times New Roman" w:eastAsia="宋体"/>
          <w:b/>
          <w:kern w:val="0"/>
          <w:sz w:val="24"/>
          <w:szCs w:val="24"/>
        </w:rPr>
      </w:pPr>
      <w:r>
        <w:rPr>
          <w:rFonts w:ascii="Times New Roman" w:hAnsi="Times New Roman" w:eastAsia="宋体"/>
          <w:b/>
          <w:kern w:val="0"/>
          <w:sz w:val="24"/>
          <w:szCs w:val="24"/>
        </w:rPr>
        <w:t>项目</w:t>
      </w:r>
      <w:r>
        <w:rPr>
          <w:rFonts w:hint="eastAsia" w:ascii="Times New Roman" w:hAnsi="Times New Roman" w:eastAsia="宋体"/>
          <w:b/>
          <w:kern w:val="0"/>
          <w:sz w:val="24"/>
          <w:szCs w:val="24"/>
        </w:rPr>
        <w:t>产生的不凝气经密闭管道由引风机引入减压炉燃烧后通过28</w:t>
      </w:r>
      <w:r>
        <w:rPr>
          <w:rFonts w:ascii="Times New Roman" w:hAnsi="Times New Roman" w:eastAsia="宋体"/>
          <w:b/>
          <w:kern w:val="0"/>
          <w:sz w:val="24"/>
          <w:szCs w:val="24"/>
        </w:rPr>
        <w:t>m排气筒</w:t>
      </w:r>
      <w:r>
        <w:rPr>
          <w:rFonts w:hint="eastAsia" w:ascii="Times New Roman" w:hAnsi="Times New Roman" w:eastAsia="宋体"/>
          <w:b/>
          <w:kern w:val="0"/>
          <w:sz w:val="24"/>
          <w:szCs w:val="24"/>
        </w:rPr>
        <w:t>排放。减压炉</w:t>
      </w:r>
      <w:r>
        <w:rPr>
          <w:rFonts w:ascii="Times New Roman" w:hAnsi="Times New Roman" w:eastAsia="宋体"/>
          <w:b/>
          <w:kern w:val="0"/>
          <w:sz w:val="24"/>
          <w:szCs w:val="24"/>
        </w:rPr>
        <w:t>使用不凝气和天然气为燃料，</w:t>
      </w:r>
      <w:r>
        <w:rPr>
          <w:rFonts w:hint="eastAsia" w:ascii="Times New Roman" w:hAnsi="Times New Roman" w:eastAsia="宋体"/>
          <w:b/>
          <w:kern w:val="0"/>
          <w:sz w:val="24"/>
          <w:szCs w:val="24"/>
        </w:rPr>
        <w:t>变更前后燃料来源和用量不变，故减压炉废气量及废气中的各污染物产排量不变。</w:t>
      </w:r>
    </w:p>
    <w:p>
      <w:pPr>
        <w:spacing w:line="480" w:lineRule="exact"/>
        <w:ind w:firstLine="480" w:firstLineChars="200"/>
        <w:rPr>
          <w:rFonts w:ascii="Times New Roman" w:hAnsi="Times New Roman" w:eastAsia="宋体"/>
          <w:kern w:val="0"/>
          <w:sz w:val="24"/>
          <w:szCs w:val="24"/>
        </w:rPr>
      </w:pPr>
      <w:r>
        <w:rPr>
          <w:rFonts w:ascii="Times New Roman" w:hAnsi="Times New Roman" w:eastAsia="宋体"/>
          <w:kern w:val="0"/>
          <w:sz w:val="24"/>
          <w:szCs w:val="24"/>
        </w:rPr>
        <w:t>本项目共设置</w:t>
      </w:r>
      <w:r>
        <w:rPr>
          <w:rFonts w:hint="eastAsia" w:ascii="Times New Roman" w:hAnsi="Times New Roman" w:eastAsia="宋体"/>
          <w:kern w:val="0"/>
          <w:sz w:val="24"/>
          <w:szCs w:val="24"/>
        </w:rPr>
        <w:t>一</w:t>
      </w:r>
      <w:r>
        <w:rPr>
          <w:rFonts w:ascii="Times New Roman" w:hAnsi="Times New Roman" w:eastAsia="宋体"/>
          <w:kern w:val="0"/>
          <w:sz w:val="24"/>
          <w:szCs w:val="24"/>
        </w:rPr>
        <w:t>台</w:t>
      </w:r>
      <w:r>
        <w:rPr>
          <w:rFonts w:hint="eastAsia" w:ascii="Times New Roman" w:hAnsi="Times New Roman" w:eastAsia="宋体"/>
          <w:kern w:val="0"/>
          <w:sz w:val="24"/>
          <w:szCs w:val="24"/>
        </w:rPr>
        <w:t>减压</w:t>
      </w:r>
      <w:r>
        <w:rPr>
          <w:rFonts w:ascii="Times New Roman" w:hAnsi="Times New Roman" w:eastAsia="宋体"/>
          <w:kern w:val="0"/>
          <w:sz w:val="24"/>
          <w:szCs w:val="24"/>
        </w:rPr>
        <w:t>炉</w:t>
      </w:r>
      <w:r>
        <w:rPr>
          <w:rFonts w:hint="eastAsia" w:ascii="Times New Roman" w:hAnsi="Times New Roman" w:eastAsia="宋体"/>
          <w:kern w:val="0"/>
          <w:sz w:val="24"/>
          <w:szCs w:val="24"/>
        </w:rPr>
        <w:t>，</w:t>
      </w:r>
      <w:r>
        <w:rPr>
          <w:rFonts w:ascii="Times New Roman" w:hAnsi="Times New Roman" w:eastAsia="宋体"/>
          <w:kern w:val="0"/>
          <w:sz w:val="24"/>
          <w:szCs w:val="24"/>
        </w:rPr>
        <w:t>燃料用量分别为不凝气174 Nm³/h，天然气耗量</w:t>
      </w:r>
      <w:r>
        <w:rPr>
          <w:rFonts w:hint="eastAsia" w:ascii="Times New Roman" w:hAnsi="Times New Roman" w:eastAsia="宋体"/>
          <w:kern w:val="0"/>
          <w:sz w:val="24"/>
          <w:szCs w:val="24"/>
        </w:rPr>
        <w:t>104</w:t>
      </w:r>
      <w:r>
        <w:rPr>
          <w:rFonts w:ascii="Times New Roman" w:hAnsi="Times New Roman" w:eastAsia="宋体"/>
          <w:kern w:val="0"/>
          <w:sz w:val="24"/>
          <w:szCs w:val="24"/>
        </w:rPr>
        <w:t xml:space="preserve"> Nm³/h。</w:t>
      </w:r>
    </w:p>
    <w:p>
      <w:pPr>
        <w:spacing w:line="480" w:lineRule="exact"/>
        <w:ind w:firstLine="460" w:firstLineChars="200"/>
        <w:rPr>
          <w:rFonts w:ascii="Times New Roman" w:hAnsi="Times New Roman" w:eastAsia="宋体"/>
          <w:kern w:val="0"/>
          <w:sz w:val="24"/>
          <w:szCs w:val="24"/>
        </w:rPr>
      </w:pPr>
      <w:r>
        <w:rPr>
          <w:rFonts w:ascii="Times New Roman" w:hAnsi="Times New Roman" w:eastAsia="宋体"/>
          <w:spacing w:val="-5"/>
          <w:sz w:val="24"/>
        </w:rPr>
        <w:t>根据《环境保护计算手册》，天然气理论空气量计算公式如下：</w:t>
      </w:r>
    </w:p>
    <w:p>
      <w:pPr>
        <w:ind w:firstLine="480" w:firstLineChars="200"/>
        <w:jc w:val="center"/>
        <w:rPr>
          <w:rFonts w:ascii="Times New Roman" w:hAnsi="Times New Roman" w:eastAsia="宋体" w:cs="Times New Roman"/>
          <w:kern w:val="0"/>
          <w:sz w:val="24"/>
          <w:szCs w:val="24"/>
        </w:rPr>
      </w:pPr>
      <m:oMath>
        <m:sSub>
          <m:sSubPr>
            <m:ctrlPr>
              <w:rPr>
                <w:rFonts w:ascii="Cambria Math" w:hAnsi="Cambria Math" w:eastAsia="宋体" w:cs="Times New Roman"/>
                <w:kern w:val="0"/>
                <w:sz w:val="24"/>
                <w:szCs w:val="24"/>
              </w:rPr>
            </m:ctrlPr>
          </m:sSubPr>
          <m:e>
            <m:r>
              <w:rPr>
                <w:rFonts w:ascii="Cambria Math" w:hAnsi="Cambria Math" w:eastAsia="宋体" w:cs="Times New Roman"/>
                <w:kern w:val="0"/>
                <w:sz w:val="24"/>
                <w:szCs w:val="24"/>
              </w:rPr>
              <m:t>V</m:t>
            </m:r>
            <m:ctrlPr>
              <w:rPr>
                <w:rFonts w:ascii="Cambria Math" w:hAnsi="Cambria Math" w:eastAsia="宋体" w:cs="Times New Roman"/>
                <w:kern w:val="0"/>
                <w:sz w:val="24"/>
                <w:szCs w:val="24"/>
              </w:rPr>
            </m:ctrlPr>
          </m:e>
          <m:sub>
            <m:r>
              <w:rPr>
                <w:rFonts w:ascii="Cambria Math" w:hAnsi="Cambria Math" w:eastAsia="宋体" w:cs="Times New Roman"/>
                <w:kern w:val="0"/>
                <w:sz w:val="24"/>
                <w:szCs w:val="24"/>
              </w:rPr>
              <m:t>0</m:t>
            </m:r>
            <m:ctrlPr>
              <w:rPr>
                <w:rFonts w:ascii="Cambria Math" w:hAnsi="Cambria Math" w:eastAsia="宋体" w:cs="Times New Roman"/>
                <w:kern w:val="0"/>
                <w:sz w:val="24"/>
                <w:szCs w:val="24"/>
              </w:rPr>
            </m:ctrlPr>
          </m:sub>
        </m:sSub>
        <m:r>
          <m:rPr>
            <m:sty m:val="p"/>
          </m:rPr>
          <w:rPr>
            <w:rFonts w:ascii="Cambria Math" w:hAnsi="Cambria Math" w:eastAsia="宋体" w:cs="Times New Roman"/>
            <w:kern w:val="0"/>
            <w:sz w:val="24"/>
            <w:szCs w:val="24"/>
          </w:rPr>
          <m:t>=1.105×</m:t>
        </m:r>
        <m:f>
          <m:fPr>
            <m:ctrlPr>
              <w:rPr>
                <w:rFonts w:ascii="Cambria Math" w:hAnsi="Cambria Math" w:eastAsia="宋体" w:cs="Times New Roman"/>
                <w:kern w:val="0"/>
                <w:sz w:val="24"/>
                <w:szCs w:val="24"/>
              </w:rPr>
            </m:ctrlPr>
          </m:fPr>
          <m:num>
            <m:r>
              <w:rPr>
                <w:rFonts w:ascii="Cambria Math" w:hAnsi="Cambria Math" w:eastAsia="宋体" w:cs="Times New Roman"/>
                <w:kern w:val="0"/>
                <w:sz w:val="24"/>
                <w:szCs w:val="24"/>
              </w:rPr>
              <m:t>Q</m:t>
            </m:r>
            <m:ctrlPr>
              <w:rPr>
                <w:rFonts w:ascii="Cambria Math" w:hAnsi="Cambria Math" w:eastAsia="宋体" w:cs="Times New Roman"/>
                <w:kern w:val="0"/>
                <w:sz w:val="24"/>
                <w:szCs w:val="24"/>
              </w:rPr>
            </m:ctrlPr>
          </m:num>
          <m:den>
            <m:r>
              <w:rPr>
                <w:rFonts w:ascii="Cambria Math" w:hAnsi="Cambria Math" w:eastAsia="宋体" w:cs="Times New Roman"/>
                <w:kern w:val="0"/>
                <w:sz w:val="24"/>
                <w:szCs w:val="24"/>
              </w:rPr>
              <m:t>1000</m:t>
            </m:r>
            <m:ctrlPr>
              <w:rPr>
                <w:rFonts w:ascii="Cambria Math" w:hAnsi="Cambria Math" w:eastAsia="宋体" w:cs="Times New Roman"/>
                <w:kern w:val="0"/>
                <w:sz w:val="24"/>
                <w:szCs w:val="24"/>
              </w:rPr>
            </m:ctrlPr>
          </m:den>
        </m:f>
        <m:r>
          <w:rPr>
            <w:rFonts w:ascii="Cambria Math" w:hAnsi="Cambria Math" w:eastAsia="宋体" w:cs="Times New Roman"/>
            <w:kern w:val="0"/>
            <w:sz w:val="24"/>
            <w:szCs w:val="24"/>
          </w:rPr>
          <m:t>+0.02</m:t>
        </m:r>
      </m:oMath>
      <w:r>
        <w:rPr>
          <w:rFonts w:hint="eastAsia" w:ascii="Times New Roman" w:hAnsi="Times New Roman" w:eastAsia="宋体" w:cs="Times New Roman"/>
          <w:kern w:val="0"/>
          <w:sz w:val="24"/>
          <w:szCs w:val="24"/>
        </w:rPr>
        <w:t xml:space="preserve">   (</w:t>
      </w:r>
      <w:r>
        <w:rPr>
          <w:rFonts w:ascii="Times New Roman" w:hAnsi="Times New Roman" w:eastAsia="Times New Roman"/>
        </w:rPr>
        <w:t>Nm</w:t>
      </w:r>
      <w:r>
        <w:rPr>
          <w:rFonts w:ascii="Times New Roman" w:hAnsi="Times New Roman" w:eastAsia="Times New Roman"/>
          <w:position w:val="8"/>
          <w:sz w:val="15"/>
        </w:rPr>
        <w:t>3</w:t>
      </w:r>
      <w:r>
        <w:rPr>
          <w:rFonts w:ascii="Times New Roman" w:hAnsi="Times New Roman" w:eastAsia="Times New Roman"/>
        </w:rPr>
        <w:t>/Nm</w:t>
      </w:r>
      <w:r>
        <w:rPr>
          <w:rFonts w:ascii="Times New Roman" w:hAnsi="Times New Roman" w:eastAsia="Times New Roman"/>
          <w:position w:val="8"/>
          <w:sz w:val="15"/>
        </w:rPr>
        <w:t>3</w:t>
      </w:r>
      <w:r>
        <w:rPr>
          <w:rFonts w:hint="eastAsia" w:ascii="Times New Roman" w:hAnsi="Times New Roman" w:eastAsia="宋体" w:cs="Times New Roman"/>
          <w:kern w:val="0"/>
          <w:sz w:val="24"/>
          <w:szCs w:val="24"/>
        </w:rPr>
        <w:t>)</w:t>
      </w:r>
    </w:p>
    <w:p>
      <w:pPr>
        <w:spacing w:line="480" w:lineRule="exact"/>
        <w:ind w:firstLine="460" w:firstLineChars="200"/>
        <w:rPr>
          <w:rFonts w:ascii="Times New Roman" w:hAnsi="Times New Roman" w:eastAsia="宋体"/>
          <w:spacing w:val="-5"/>
          <w:sz w:val="24"/>
        </w:rPr>
      </w:pPr>
      <w:r>
        <w:rPr>
          <w:rFonts w:ascii="Times New Roman" w:hAnsi="Times New Roman" w:eastAsia="宋体"/>
          <w:spacing w:val="-5"/>
          <w:sz w:val="24"/>
        </w:rPr>
        <w:t>式中</w:t>
      </w:r>
      <w:r>
        <w:rPr>
          <w:rFonts w:hint="eastAsia" w:ascii="Times New Roman" w:hAnsi="Times New Roman" w:eastAsia="宋体"/>
          <w:spacing w:val="-5"/>
          <w:sz w:val="24"/>
        </w:rPr>
        <w:t>：</w:t>
      </w:r>
    </w:p>
    <w:p>
      <w:pPr>
        <w:pStyle w:val="7"/>
        <w:spacing w:line="480" w:lineRule="exact"/>
        <w:ind w:firstLine="480" w:firstLineChars="200"/>
        <w:jc w:val="both"/>
        <w:rPr>
          <w:rFonts w:ascii="Times New Roman" w:hAnsi="Times New Roman"/>
          <w:lang w:eastAsia="zh-CN"/>
        </w:rPr>
      </w:pPr>
      <w:r>
        <w:rPr>
          <w:rFonts w:ascii="Times New Roman" w:hAnsi="Times New Roman" w:eastAsia="Times New Roman"/>
          <w:lang w:eastAsia="zh-CN"/>
        </w:rPr>
        <w:t>V</w:t>
      </w:r>
      <w:r>
        <w:rPr>
          <w:rFonts w:ascii="Times New Roman" w:hAnsi="Times New Roman" w:eastAsia="Times New Roman"/>
          <w:position w:val="-5"/>
          <w:sz w:val="14"/>
          <w:lang w:eastAsia="zh-CN"/>
        </w:rPr>
        <w:t xml:space="preserve">0 </w:t>
      </w:r>
      <w:r>
        <w:rPr>
          <w:rFonts w:ascii="Times New Roman" w:hAnsi="Times New Roman" w:eastAsia="Times New Roman"/>
          <w:lang w:eastAsia="zh-CN"/>
        </w:rPr>
        <w:t>——</w:t>
      </w:r>
      <w:r>
        <w:rPr>
          <w:rFonts w:ascii="Times New Roman" w:hAnsi="Times New Roman"/>
          <w:lang w:eastAsia="zh-CN"/>
        </w:rPr>
        <w:t>理论空气量，</w:t>
      </w:r>
      <w:r>
        <w:rPr>
          <w:rFonts w:ascii="Times New Roman" w:hAnsi="Times New Roman" w:eastAsia="Times New Roman"/>
          <w:lang w:eastAsia="zh-CN"/>
        </w:rPr>
        <w:t>Nm</w:t>
      </w:r>
      <w:r>
        <w:rPr>
          <w:rFonts w:ascii="Times New Roman" w:hAnsi="Times New Roman" w:eastAsia="Times New Roman"/>
          <w:position w:val="8"/>
          <w:sz w:val="15"/>
          <w:lang w:eastAsia="zh-CN"/>
        </w:rPr>
        <w:t>3</w:t>
      </w:r>
      <w:r>
        <w:rPr>
          <w:rFonts w:ascii="Times New Roman" w:hAnsi="Times New Roman"/>
          <w:lang w:eastAsia="zh-CN"/>
        </w:rPr>
        <w:t>；</w:t>
      </w:r>
    </w:p>
    <w:p>
      <w:pPr>
        <w:pStyle w:val="7"/>
        <w:spacing w:line="480" w:lineRule="exact"/>
        <w:ind w:firstLine="480" w:firstLineChars="200"/>
        <w:jc w:val="both"/>
        <w:rPr>
          <w:rFonts w:ascii="Times New Roman" w:hAnsi="Times New Roman"/>
          <w:lang w:eastAsia="zh-CN"/>
        </w:rPr>
      </w:pPr>
      <w:r>
        <w:rPr>
          <w:rFonts w:ascii="Times New Roman" w:hAnsi="Times New Roman" w:eastAsia="Times New Roman"/>
          <w:lang w:eastAsia="zh-CN"/>
        </w:rPr>
        <w:t>Q ——</w:t>
      </w:r>
      <w:r>
        <w:rPr>
          <w:rFonts w:ascii="Times New Roman" w:hAnsi="Times New Roman"/>
          <w:lang w:eastAsia="zh-CN"/>
        </w:rPr>
        <w:t>天然气的低位发热值，</w:t>
      </w:r>
      <w:r>
        <w:rPr>
          <w:rFonts w:ascii="Times New Roman" w:hAnsi="Times New Roman" w:eastAsia="Times New Roman"/>
          <w:lang w:eastAsia="zh-CN"/>
        </w:rPr>
        <w:t>kcal</w:t>
      </w:r>
      <w:r>
        <w:rPr>
          <w:rFonts w:ascii="Times New Roman" w:hAnsi="Times New Roman"/>
          <w:lang w:eastAsia="zh-CN"/>
        </w:rPr>
        <w:t>，取</w:t>
      </w:r>
      <w:r>
        <w:rPr>
          <w:rFonts w:ascii="Times New Roman" w:hAnsi="Times New Roman" w:eastAsia="Times New Roman"/>
          <w:lang w:eastAsia="zh-CN"/>
        </w:rPr>
        <w:t>8500</w:t>
      </w:r>
      <w:r>
        <w:rPr>
          <w:rFonts w:ascii="Times New Roman" w:hAnsi="Times New Roman"/>
          <w:lang w:eastAsia="zh-CN"/>
        </w:rPr>
        <w:t>。</w:t>
      </w:r>
    </w:p>
    <w:p>
      <w:pPr>
        <w:pStyle w:val="7"/>
        <w:spacing w:line="480" w:lineRule="exact"/>
        <w:ind w:firstLine="480" w:firstLineChars="200"/>
        <w:jc w:val="both"/>
        <w:rPr>
          <w:rFonts w:ascii="Times New Roman" w:hAnsi="Times New Roman"/>
          <w:lang w:eastAsia="zh-CN"/>
        </w:rPr>
      </w:pPr>
      <w:r>
        <w:rPr>
          <w:rFonts w:ascii="Times New Roman" w:hAnsi="Times New Roman"/>
          <w:lang w:eastAsia="zh-CN"/>
        </w:rPr>
        <w:t>经计算，天然气燃烧所需的理论空气量为</w:t>
      </w:r>
      <w:r>
        <w:rPr>
          <w:rFonts w:ascii="Times New Roman" w:hAnsi="Times New Roman" w:eastAsia="Times New Roman"/>
          <w:lang w:eastAsia="zh-CN"/>
        </w:rPr>
        <w:t>9.41Nm</w:t>
      </w:r>
      <w:r>
        <w:rPr>
          <w:rFonts w:ascii="Times New Roman" w:hAnsi="Times New Roman" w:eastAsia="Times New Roman"/>
          <w:position w:val="8"/>
          <w:sz w:val="15"/>
          <w:lang w:eastAsia="zh-CN"/>
        </w:rPr>
        <w:t>3</w:t>
      </w:r>
      <w:r>
        <w:rPr>
          <w:rFonts w:ascii="Times New Roman" w:hAnsi="Times New Roman" w:eastAsia="Times New Roman"/>
          <w:lang w:eastAsia="zh-CN"/>
        </w:rPr>
        <w:t>/Nm</w:t>
      </w:r>
      <w:r>
        <w:rPr>
          <w:rFonts w:ascii="Times New Roman" w:hAnsi="Times New Roman" w:eastAsia="Times New Roman"/>
          <w:position w:val="8"/>
          <w:sz w:val="15"/>
          <w:lang w:eastAsia="zh-CN"/>
        </w:rPr>
        <w:t>3</w:t>
      </w:r>
      <w:r>
        <w:rPr>
          <w:rFonts w:ascii="Times New Roman" w:hAnsi="Times New Roman"/>
          <w:lang w:eastAsia="zh-CN"/>
        </w:rPr>
        <w:t>。</w:t>
      </w:r>
      <w:r>
        <w:rPr>
          <w:rFonts w:ascii="Times New Roman" w:hAnsi="Times New Roman"/>
          <w:spacing w:val="-4"/>
          <w:lang w:eastAsia="zh-CN"/>
        </w:rPr>
        <w:t>根据《环境保护计算手册》，当天然气低位发热值</w:t>
      </w:r>
      <w:r>
        <w:rPr>
          <w:rFonts w:ascii="Times New Roman" w:hAnsi="Times New Roman" w:eastAsia="Times New Roman"/>
          <w:w w:val="99"/>
          <w:lang w:eastAsia="zh-CN"/>
        </w:rPr>
        <w:t>Q</w:t>
      </w:r>
      <w:r>
        <w:rPr>
          <w:rFonts w:ascii="Times New Roman" w:hAnsi="Times New Roman"/>
          <w:w w:val="99"/>
          <w:lang w:eastAsia="zh-CN"/>
        </w:rPr>
        <w:t>＞</w:t>
      </w:r>
      <w:r>
        <w:rPr>
          <w:rFonts w:ascii="Times New Roman" w:hAnsi="Times New Roman" w:eastAsia="Times New Roman"/>
          <w:w w:val="99"/>
          <w:lang w:eastAsia="zh-CN"/>
        </w:rPr>
        <w:t>8250kcal</w:t>
      </w:r>
      <w:r>
        <w:rPr>
          <w:rFonts w:ascii="Times New Roman" w:hAnsi="Times New Roman"/>
          <w:spacing w:val="1"/>
          <w:lang w:eastAsia="zh-CN"/>
        </w:rPr>
        <w:t>时，其烟气</w:t>
      </w:r>
      <w:r>
        <w:rPr>
          <w:rFonts w:ascii="Times New Roman" w:hAnsi="Times New Roman"/>
          <w:lang w:eastAsia="zh-CN"/>
        </w:rPr>
        <w:t>量计算公式为：</w:t>
      </w:r>
    </w:p>
    <w:p>
      <w:pPr>
        <w:pStyle w:val="7"/>
        <w:spacing w:line="338" w:lineRule="auto"/>
        <w:ind w:firstLine="480" w:firstLineChars="200"/>
        <w:jc w:val="center"/>
        <w:rPr>
          <w:rFonts w:ascii="Times New Roman" w:hAnsi="Times New Roman"/>
          <w:lang w:eastAsia="zh-CN"/>
        </w:rPr>
      </w:pPr>
      <m:oMath>
        <m:sSub>
          <m:sSubPr>
            <m:ctrlPr>
              <w:rPr>
                <w:rFonts w:ascii="Cambria Math" w:hAnsi="Cambria Math" w:cs="Times New Roman"/>
                <w:lang w:eastAsia="zh-CN"/>
              </w:rPr>
            </m:ctrlPr>
          </m:sSubPr>
          <m:e>
            <m:r>
              <w:rPr>
                <w:rFonts w:ascii="Cambria Math" w:hAnsi="Cambria Math" w:cs="Times New Roman"/>
                <w:lang w:eastAsia="zh-CN"/>
              </w:rPr>
              <m:t>V</m:t>
            </m:r>
            <m:ctrlPr>
              <w:rPr>
                <w:rFonts w:ascii="Cambria Math" w:hAnsi="Cambria Math" w:cs="Times New Roman"/>
                <w:lang w:eastAsia="zh-CN"/>
              </w:rPr>
            </m:ctrlPr>
          </m:e>
          <m:sub>
            <m:r>
              <w:rPr>
                <w:rFonts w:ascii="Cambria Math" w:hAnsi="Cambria Math" w:cs="Times New Roman"/>
                <w:lang w:eastAsia="zh-CN"/>
              </w:rPr>
              <m:t>y</m:t>
            </m:r>
            <m:ctrlPr>
              <w:rPr>
                <w:rFonts w:ascii="Cambria Math" w:hAnsi="Cambria Math" w:cs="Times New Roman"/>
                <w:lang w:eastAsia="zh-CN"/>
              </w:rPr>
            </m:ctrlPr>
          </m:sub>
        </m:sSub>
        <m:r>
          <m:rPr>
            <m:sty m:val="p"/>
          </m:rPr>
          <w:rPr>
            <w:rFonts w:ascii="Cambria Math" w:hAnsi="Cambria Math" w:cs="Times New Roman"/>
            <w:lang w:eastAsia="zh-CN"/>
          </w:rPr>
          <m:t>=0.38+0.075</m:t>
        </m:r>
        <m:f>
          <m:fPr>
            <m:ctrlPr>
              <w:rPr>
                <w:rFonts w:ascii="Cambria Math" w:hAnsi="Cambria Math" w:cs="Times New Roman"/>
                <w:lang w:eastAsia="zh-CN"/>
              </w:rPr>
            </m:ctrlPr>
          </m:fPr>
          <m:num>
            <m:r>
              <w:rPr>
                <w:rFonts w:ascii="Cambria Math" w:hAnsi="Cambria Math" w:cs="Times New Roman"/>
                <w:lang w:eastAsia="zh-CN"/>
              </w:rPr>
              <m:t>Q</m:t>
            </m:r>
            <m:ctrlPr>
              <w:rPr>
                <w:rFonts w:ascii="Cambria Math" w:hAnsi="Cambria Math" w:cs="Times New Roman"/>
                <w:lang w:eastAsia="zh-CN"/>
              </w:rPr>
            </m:ctrlPr>
          </m:num>
          <m:den>
            <m:r>
              <w:rPr>
                <w:rFonts w:ascii="Cambria Math" w:hAnsi="Cambria Math" w:cs="Times New Roman"/>
                <w:lang w:eastAsia="zh-CN"/>
              </w:rPr>
              <m:t>1000</m:t>
            </m:r>
            <m:ctrlPr>
              <w:rPr>
                <w:rFonts w:ascii="Cambria Math" w:hAnsi="Cambria Math" w:cs="Times New Roman"/>
                <w:lang w:eastAsia="zh-CN"/>
              </w:rPr>
            </m:ctrlPr>
          </m:den>
        </m:f>
        <m:r>
          <w:rPr>
            <w:rFonts w:ascii="Cambria Math" w:hAnsi="Cambria Math" w:cs="Times New Roman"/>
            <w:lang w:eastAsia="zh-CN"/>
          </w:rPr>
          <m:t>+α</m:t>
        </m:r>
        <m:sSub>
          <m:sSubPr>
            <m:ctrlPr>
              <w:rPr>
                <w:rFonts w:ascii="Cambria Math" w:hAnsi="Cambria Math" w:cs="Times New Roman"/>
                <w:lang w:eastAsia="zh-CN"/>
              </w:rPr>
            </m:ctrlPr>
          </m:sSubPr>
          <m:e>
            <m:r>
              <w:rPr>
                <w:rFonts w:ascii="Cambria Math" w:hAnsi="Cambria Math" w:cs="Times New Roman"/>
                <w:lang w:eastAsia="zh-CN"/>
              </w:rPr>
              <m:t>V</m:t>
            </m:r>
            <m:ctrlPr>
              <w:rPr>
                <w:rFonts w:ascii="Cambria Math" w:hAnsi="Cambria Math" w:cs="Times New Roman"/>
                <w:lang w:eastAsia="zh-CN"/>
              </w:rPr>
            </m:ctrlPr>
          </m:e>
          <m:sub>
            <m:r>
              <w:rPr>
                <w:rFonts w:ascii="Cambria Math" w:hAnsi="Cambria Math" w:cs="Times New Roman"/>
                <w:lang w:eastAsia="zh-CN"/>
              </w:rPr>
              <m:t>0</m:t>
            </m:r>
            <m:ctrlPr>
              <w:rPr>
                <w:rFonts w:ascii="Cambria Math" w:hAnsi="Cambria Math" w:cs="Times New Roman"/>
                <w:lang w:eastAsia="zh-CN"/>
              </w:rPr>
            </m:ctrlPr>
          </m:sub>
        </m:sSub>
      </m:oMath>
      <w:r>
        <w:rPr>
          <w:rFonts w:ascii="Times New Roman" w:hAnsi="Times New Roman" w:cs="Times New Roman"/>
          <w:lang w:eastAsia="zh-CN"/>
        </w:rPr>
        <w:t xml:space="preserve">  (</w:t>
      </w:r>
      <w:r>
        <w:rPr>
          <w:rFonts w:ascii="Times New Roman" w:hAnsi="Times New Roman" w:eastAsia="Times New Roman"/>
          <w:lang w:eastAsia="zh-CN"/>
        </w:rPr>
        <w:t>Nm</w:t>
      </w:r>
      <w:r>
        <w:rPr>
          <w:rFonts w:ascii="Times New Roman" w:hAnsi="Times New Roman" w:eastAsia="Times New Roman"/>
          <w:position w:val="8"/>
          <w:sz w:val="15"/>
          <w:lang w:eastAsia="zh-CN"/>
        </w:rPr>
        <w:t>3</w:t>
      </w:r>
      <w:r>
        <w:rPr>
          <w:rFonts w:ascii="Times New Roman" w:hAnsi="Times New Roman" w:eastAsia="Times New Roman"/>
          <w:lang w:eastAsia="zh-CN"/>
        </w:rPr>
        <w:t>/Nm</w:t>
      </w:r>
      <w:r>
        <w:rPr>
          <w:rFonts w:ascii="Times New Roman" w:hAnsi="Times New Roman" w:eastAsia="Times New Roman"/>
          <w:position w:val="8"/>
          <w:sz w:val="15"/>
          <w:lang w:eastAsia="zh-CN"/>
        </w:rPr>
        <w:t>3</w:t>
      </w:r>
      <w:r>
        <w:rPr>
          <w:rFonts w:ascii="Times New Roman" w:hAnsi="Times New Roman" w:cs="Times New Roman"/>
          <w:lang w:eastAsia="zh-CN"/>
        </w:rPr>
        <w:t>)</w:t>
      </w:r>
    </w:p>
    <w:p>
      <w:pPr>
        <w:pStyle w:val="7"/>
        <w:spacing w:line="480" w:lineRule="exact"/>
        <w:ind w:firstLine="480" w:firstLineChars="200"/>
        <w:jc w:val="both"/>
        <w:rPr>
          <w:rFonts w:ascii="Times New Roman" w:hAnsi="Times New Roman"/>
          <w:lang w:eastAsia="zh-CN"/>
        </w:rPr>
      </w:pPr>
      <w:r>
        <w:rPr>
          <w:rFonts w:ascii="Times New Roman" w:hAnsi="Times New Roman"/>
        </w:rPr>
        <w:t>α</w:t>
      </w:r>
      <w:r>
        <w:rPr>
          <w:rFonts w:ascii="Times New Roman" w:hAnsi="Times New Roman"/>
          <w:lang w:eastAsia="zh-CN"/>
        </w:rPr>
        <w:t>——空气过剩系数，取1.05。</w:t>
      </w:r>
    </w:p>
    <w:p>
      <w:pPr>
        <w:pStyle w:val="7"/>
        <w:spacing w:line="480" w:lineRule="exact"/>
        <w:ind w:firstLine="480" w:firstLineChars="200"/>
        <w:jc w:val="both"/>
        <w:rPr>
          <w:rFonts w:ascii="Times New Roman" w:hAnsi="Times New Roman"/>
          <w:lang w:eastAsia="zh-CN"/>
        </w:rPr>
      </w:pPr>
      <w:r>
        <w:rPr>
          <w:rFonts w:ascii="Times New Roman" w:hAnsi="Times New Roman"/>
          <w:lang w:eastAsia="zh-CN"/>
        </w:rPr>
        <w:t>经计算，天然气燃烧烟气产生量约为10.9 Nm</w:t>
      </w:r>
      <w:r>
        <w:rPr>
          <w:rFonts w:ascii="Times New Roman" w:hAnsi="Times New Roman" w:eastAsia="Times New Roman"/>
          <w:kern w:val="2"/>
          <w:position w:val="8"/>
          <w:sz w:val="15"/>
          <w:szCs w:val="15"/>
          <w:lang w:eastAsia="zh-CN"/>
        </w:rPr>
        <w:t>3</w:t>
      </w:r>
      <w:r>
        <w:rPr>
          <w:rFonts w:ascii="Times New Roman" w:hAnsi="Times New Roman"/>
          <w:lang w:eastAsia="zh-CN"/>
        </w:rPr>
        <w:t>/Nm</w:t>
      </w:r>
      <w:r>
        <w:rPr>
          <w:rFonts w:ascii="Times New Roman" w:hAnsi="Times New Roman" w:eastAsia="Times New Roman"/>
          <w:kern w:val="2"/>
          <w:position w:val="8"/>
          <w:sz w:val="15"/>
          <w:szCs w:val="15"/>
          <w:lang w:eastAsia="zh-CN"/>
        </w:rPr>
        <w:t>3</w:t>
      </w:r>
      <w:r>
        <w:rPr>
          <w:rFonts w:ascii="Times New Roman" w:hAnsi="Times New Roman"/>
          <w:lang w:eastAsia="zh-CN"/>
        </w:rPr>
        <w:t>。</w:t>
      </w:r>
    </w:p>
    <w:p>
      <w:pPr>
        <w:spacing w:line="480" w:lineRule="exact"/>
        <w:ind w:firstLine="480" w:firstLineChars="200"/>
        <w:rPr>
          <w:rFonts w:ascii="Times New Roman" w:hAnsi="Times New Roman" w:eastAsia="宋体"/>
          <w:kern w:val="0"/>
          <w:sz w:val="24"/>
          <w:szCs w:val="24"/>
        </w:rPr>
      </w:pPr>
      <w:r>
        <w:rPr>
          <w:rFonts w:ascii="Times New Roman" w:hAnsi="Times New Roman" w:eastAsia="宋体"/>
          <w:kern w:val="0"/>
          <w:sz w:val="24"/>
          <w:szCs w:val="24"/>
        </w:rPr>
        <w:t>不凝气的燃烧烟气产生量参考天然气计算，则</w:t>
      </w:r>
      <w:r>
        <w:rPr>
          <w:rFonts w:hint="eastAsia" w:ascii="Times New Roman" w:hAnsi="Times New Roman" w:eastAsia="宋体"/>
          <w:kern w:val="0"/>
          <w:sz w:val="24"/>
          <w:szCs w:val="24"/>
        </w:rPr>
        <w:t>减压</w:t>
      </w:r>
      <w:r>
        <w:rPr>
          <w:rFonts w:ascii="Times New Roman" w:hAnsi="Times New Roman" w:eastAsia="宋体"/>
          <w:kern w:val="0"/>
          <w:sz w:val="24"/>
          <w:szCs w:val="24"/>
        </w:rPr>
        <w:t>炉的燃烧烟气量为</w:t>
      </w:r>
      <w:r>
        <w:rPr>
          <w:rFonts w:hint="eastAsia" w:ascii="Times New Roman" w:hAnsi="Times New Roman" w:eastAsia="宋体"/>
          <w:kern w:val="0"/>
          <w:sz w:val="24"/>
          <w:szCs w:val="24"/>
        </w:rPr>
        <w:t>3030.2</w:t>
      </w:r>
      <w:r>
        <w:rPr>
          <w:rFonts w:ascii="Times New Roman" w:hAnsi="Times New Roman" w:eastAsia="宋体"/>
          <w:kern w:val="0"/>
          <w:sz w:val="24"/>
          <w:szCs w:val="24"/>
        </w:rPr>
        <w:t>Nm³/h；根据设计单位提供的资料，</w:t>
      </w:r>
      <w:r>
        <w:rPr>
          <w:rFonts w:hint="eastAsia" w:ascii="Times New Roman" w:hAnsi="Times New Roman" w:eastAsia="宋体"/>
          <w:kern w:val="0"/>
          <w:sz w:val="24"/>
          <w:szCs w:val="24"/>
        </w:rPr>
        <w:t>减压</w:t>
      </w:r>
      <w:r>
        <w:rPr>
          <w:rFonts w:ascii="Times New Roman" w:hAnsi="Times New Roman" w:eastAsia="宋体"/>
          <w:kern w:val="0"/>
          <w:sz w:val="24"/>
          <w:szCs w:val="24"/>
        </w:rPr>
        <w:t>炉烟气排放温度为200</w:t>
      </w:r>
      <w:r>
        <w:rPr>
          <w:rFonts w:hint="eastAsia" w:ascii="Times New Roman" w:hAnsi="Times New Roman" w:eastAsia="宋体"/>
          <w:kern w:val="0"/>
          <w:sz w:val="24"/>
          <w:szCs w:val="24"/>
        </w:rPr>
        <w:t>℃</w:t>
      </w:r>
      <w:r>
        <w:rPr>
          <w:rFonts w:ascii="Times New Roman" w:hAnsi="Times New Roman" w:eastAsia="宋体"/>
          <w:kern w:val="0"/>
          <w:sz w:val="24"/>
          <w:szCs w:val="24"/>
        </w:rPr>
        <w:t>，则实际烟气排放量为</w:t>
      </w:r>
      <w:r>
        <w:rPr>
          <w:rFonts w:hint="eastAsia" w:ascii="Times New Roman" w:hAnsi="Times New Roman" w:eastAsia="宋体"/>
          <w:kern w:val="0"/>
          <w:sz w:val="24"/>
          <w:szCs w:val="24"/>
        </w:rPr>
        <w:t>5242.2</w:t>
      </w:r>
      <w:r>
        <w:rPr>
          <w:rFonts w:ascii="Times New Roman" w:hAnsi="Times New Roman" w:eastAsia="宋体"/>
          <w:kern w:val="0"/>
          <w:sz w:val="24"/>
          <w:szCs w:val="24"/>
        </w:rPr>
        <w:t>m³/h。</w:t>
      </w:r>
    </w:p>
    <w:p>
      <w:pPr>
        <w:pStyle w:val="7"/>
        <w:spacing w:line="480" w:lineRule="exact"/>
        <w:ind w:firstLine="480" w:firstLineChars="200"/>
        <w:jc w:val="both"/>
        <w:rPr>
          <w:rFonts w:ascii="Times New Roman" w:hAnsi="Times New Roman" w:cs="Times New Roman"/>
          <w:lang w:eastAsia="zh-CN"/>
        </w:rPr>
      </w:pPr>
      <w:r>
        <w:rPr>
          <w:rFonts w:ascii="Times New Roman" w:hAnsi="Times New Roman" w:cs="Times New Roman"/>
          <w:lang w:eastAsia="zh-CN"/>
        </w:rPr>
        <w:t>不凝气用量为960t/a，其硫含量为0.10%，合0.96 t/a硫元素，不凝气中的硫经燃烧后，全部转化为SO</w:t>
      </w:r>
      <w:r>
        <w:rPr>
          <w:rFonts w:ascii="Times New Roman" w:hAnsi="Times New Roman" w:cs="Times New Roman"/>
          <w:vertAlign w:val="subscript"/>
          <w:lang w:eastAsia="zh-CN"/>
        </w:rPr>
        <w:t>2</w:t>
      </w:r>
      <w:r>
        <w:rPr>
          <w:rFonts w:ascii="Times New Roman" w:hAnsi="Times New Roman" w:cs="Times New Roman"/>
          <w:lang w:eastAsia="zh-CN"/>
        </w:rPr>
        <w:t>，则SO</w:t>
      </w:r>
      <w:r>
        <w:rPr>
          <w:rFonts w:ascii="Times New Roman" w:hAnsi="Times New Roman" w:cs="Times New Roman"/>
          <w:vertAlign w:val="subscript"/>
          <w:lang w:eastAsia="zh-CN"/>
        </w:rPr>
        <w:t>2</w:t>
      </w:r>
      <w:r>
        <w:rPr>
          <w:rFonts w:ascii="Times New Roman" w:hAnsi="Times New Roman" w:cs="Times New Roman"/>
          <w:lang w:eastAsia="zh-CN"/>
        </w:rPr>
        <w:t>的产生量为1.92t/a；天然气中含硫量按12mg/Nm</w:t>
      </w:r>
      <w:r>
        <w:rPr>
          <w:rFonts w:ascii="Times New Roman" w:hAnsi="Times New Roman" w:cs="Times New Roman"/>
          <w:vertAlign w:val="superscript"/>
          <w:lang w:eastAsia="zh-CN"/>
        </w:rPr>
        <w:t>3</w:t>
      </w:r>
      <w:r>
        <w:rPr>
          <w:rFonts w:ascii="Times New Roman" w:hAnsi="Times New Roman" w:cs="Times New Roman"/>
          <w:lang w:eastAsia="zh-CN"/>
        </w:rPr>
        <w:t>（以H</w:t>
      </w:r>
      <w:r>
        <w:rPr>
          <w:rFonts w:ascii="Times New Roman" w:hAnsi="Times New Roman" w:cs="Times New Roman"/>
          <w:vertAlign w:val="subscript"/>
          <w:lang w:eastAsia="zh-CN"/>
        </w:rPr>
        <w:t>2</w:t>
      </w:r>
      <w:r>
        <w:rPr>
          <w:rFonts w:ascii="Times New Roman" w:hAnsi="Times New Roman" w:cs="Times New Roman"/>
          <w:lang w:eastAsia="zh-CN"/>
        </w:rPr>
        <w:t>S计），则天然气的燃烧烟气中SO</w:t>
      </w:r>
      <w:r>
        <w:rPr>
          <w:rFonts w:ascii="Times New Roman" w:hAnsi="Times New Roman" w:cs="Times New Roman"/>
          <w:vertAlign w:val="subscript"/>
          <w:lang w:eastAsia="zh-CN"/>
        </w:rPr>
        <w:t>2</w:t>
      </w:r>
      <w:r>
        <w:rPr>
          <w:rFonts w:ascii="Times New Roman" w:hAnsi="Times New Roman" w:cs="Times New Roman"/>
          <w:lang w:eastAsia="zh-CN"/>
        </w:rPr>
        <w:t>产生量为19.97 kg/a，减压炉的燃烧烟气中SO</w:t>
      </w:r>
      <w:r>
        <w:rPr>
          <w:rFonts w:ascii="Times New Roman" w:hAnsi="Times New Roman" w:cs="Times New Roman"/>
          <w:vertAlign w:val="subscript"/>
          <w:lang w:eastAsia="zh-CN"/>
        </w:rPr>
        <w:t>2</w:t>
      </w:r>
      <w:r>
        <w:rPr>
          <w:rFonts w:ascii="Times New Roman" w:hAnsi="Times New Roman" w:cs="Times New Roman"/>
          <w:lang w:eastAsia="zh-CN"/>
        </w:rPr>
        <w:t>产生量约为1.94 t/a。</w:t>
      </w:r>
    </w:p>
    <w:p>
      <w:pPr>
        <w:pStyle w:val="7"/>
        <w:spacing w:line="480" w:lineRule="exact"/>
        <w:ind w:firstLine="480" w:firstLineChars="200"/>
        <w:jc w:val="both"/>
        <w:rPr>
          <w:rFonts w:ascii="Times New Roman" w:hAnsi="Times New Roman" w:cs="Times New Roman"/>
          <w:position w:val="2"/>
          <w:lang w:eastAsia="zh-CN"/>
        </w:rPr>
      </w:pPr>
      <w:r>
        <w:rPr>
          <w:rFonts w:ascii="Times New Roman" w:hAnsi="Times New Roman" w:cs="Times New Roman"/>
          <w:lang w:eastAsia="zh-CN"/>
        </w:rPr>
        <w:t>根据《环境保护实用手册》</w:t>
      </w:r>
      <w:r>
        <w:rPr>
          <w:rFonts w:hint="eastAsia" w:ascii="Times New Roman" w:hAnsi="Times New Roman" w:cs="Times New Roman"/>
          <w:lang w:eastAsia="zh-CN"/>
        </w:rPr>
        <w:t>（</w:t>
      </w:r>
      <w:r>
        <w:rPr>
          <w:rFonts w:ascii="Times New Roman" w:hAnsi="Times New Roman" w:cs="Times New Roman"/>
          <w:lang w:eastAsia="zh-CN"/>
        </w:rPr>
        <w:t>胡名操</w:t>
      </w:r>
      <w:r>
        <w:rPr>
          <w:rFonts w:hint="eastAsia" w:ascii="Times New Roman" w:hAnsi="Times New Roman" w:cs="Times New Roman"/>
          <w:lang w:eastAsia="zh-CN"/>
        </w:rPr>
        <w:t>）</w:t>
      </w:r>
      <w:r>
        <w:rPr>
          <w:rFonts w:ascii="Times New Roman" w:hAnsi="Times New Roman" w:cs="Times New Roman"/>
          <w:lang w:eastAsia="zh-CN"/>
        </w:rPr>
        <w:t>中统计，燃烧10000Nm</w:t>
      </w:r>
      <w:r>
        <w:rPr>
          <w:rFonts w:ascii="Times New Roman" w:hAnsi="Times New Roman" w:cs="Times New Roman"/>
          <w:position w:val="8"/>
          <w:sz w:val="15"/>
          <w:szCs w:val="15"/>
          <w:lang w:eastAsia="zh-CN"/>
        </w:rPr>
        <w:t>3</w:t>
      </w:r>
      <w:r>
        <w:rPr>
          <w:rFonts w:ascii="Times New Roman" w:hAnsi="Times New Roman" w:cs="Times New Roman"/>
          <w:lang w:eastAsia="zh-CN"/>
        </w:rPr>
        <w:t>天然气燃烧产</w:t>
      </w:r>
      <w:r>
        <w:rPr>
          <w:rFonts w:ascii="Times New Roman" w:hAnsi="Times New Roman" w:cs="Times New Roman"/>
          <w:position w:val="2"/>
          <w:lang w:eastAsia="zh-CN"/>
        </w:rPr>
        <w:t>生2.4kg烟尘</w:t>
      </w:r>
      <w:r>
        <w:rPr>
          <w:rFonts w:ascii="Times New Roman" w:hAnsi="Times New Roman" w:cs="Times New Roman"/>
          <w:spacing w:val="-10"/>
          <w:w w:val="99"/>
          <w:position w:val="2"/>
          <w:lang w:eastAsia="zh-CN"/>
        </w:rPr>
        <w:t>，</w:t>
      </w:r>
      <w:r>
        <w:rPr>
          <w:rFonts w:ascii="Times New Roman" w:hAnsi="Times New Roman" w:cs="Times New Roman"/>
          <w:position w:val="2"/>
          <w:lang w:eastAsia="zh-CN"/>
        </w:rPr>
        <w:t>6.3kgNO</w:t>
      </w:r>
      <w:r>
        <w:rPr>
          <w:rFonts w:ascii="Times New Roman" w:hAnsi="Times New Roman" w:cs="Times New Roman"/>
          <w:sz w:val="15"/>
          <w:szCs w:val="15"/>
          <w:lang w:eastAsia="zh-CN"/>
        </w:rPr>
        <w:t>2</w:t>
      </w:r>
      <w:r>
        <w:rPr>
          <w:rFonts w:ascii="Times New Roman" w:hAnsi="Times New Roman" w:cs="Times New Roman"/>
          <w:position w:val="2"/>
          <w:lang w:eastAsia="zh-CN"/>
        </w:rPr>
        <w:t>。</w:t>
      </w:r>
      <w:r>
        <w:rPr>
          <w:rFonts w:hint="eastAsia" w:ascii="Times New Roman" w:hAnsi="Times New Roman" w:cs="Times New Roman"/>
          <w:position w:val="2"/>
          <w:lang w:eastAsia="zh-CN"/>
        </w:rPr>
        <w:t>则减压炉的燃烧烟气中烟尘的产生量为</w:t>
      </w:r>
      <w:r>
        <w:rPr>
          <w:rFonts w:ascii="Times New Roman" w:hAnsi="Times New Roman" w:cs="Times New Roman"/>
          <w:position w:val="2"/>
          <w:lang w:eastAsia="zh-CN"/>
        </w:rPr>
        <w:t>0.6</w:t>
      </w:r>
      <w:r>
        <w:rPr>
          <w:rFonts w:hint="eastAsia" w:ascii="Times New Roman" w:hAnsi="Times New Roman" w:cs="Times New Roman"/>
          <w:position w:val="2"/>
          <w:lang w:eastAsia="zh-CN"/>
        </w:rPr>
        <w:t xml:space="preserve"> </w:t>
      </w:r>
      <w:r>
        <w:rPr>
          <w:rFonts w:ascii="Times New Roman" w:hAnsi="Times New Roman" w:cs="Times New Roman"/>
          <w:lang w:eastAsia="zh-CN"/>
        </w:rPr>
        <w:t>t/a</w:t>
      </w:r>
      <w:r>
        <w:rPr>
          <w:rFonts w:hint="eastAsia" w:ascii="Times New Roman" w:hAnsi="Times New Roman" w:cs="Times New Roman"/>
          <w:position w:val="2"/>
          <w:lang w:eastAsia="zh-CN"/>
        </w:rPr>
        <w:t>，</w:t>
      </w:r>
      <w:r>
        <w:rPr>
          <w:rFonts w:ascii="Times New Roman" w:hAnsi="Times New Roman" w:cs="Times New Roman"/>
          <w:position w:val="2"/>
          <w:lang w:eastAsia="zh-CN"/>
        </w:rPr>
        <w:t>NO</w:t>
      </w:r>
      <w:r>
        <w:rPr>
          <w:rFonts w:ascii="Times New Roman" w:hAnsi="Times New Roman" w:cs="Times New Roman"/>
          <w:sz w:val="15"/>
          <w:szCs w:val="15"/>
          <w:lang w:eastAsia="zh-CN"/>
        </w:rPr>
        <w:t>2</w:t>
      </w:r>
      <w:r>
        <w:rPr>
          <w:rFonts w:hint="eastAsia" w:ascii="Times New Roman" w:hAnsi="Times New Roman" w:cs="Times New Roman"/>
          <w:position w:val="2"/>
          <w:lang w:eastAsia="zh-CN"/>
        </w:rPr>
        <w:t>产生量为1.</w:t>
      </w:r>
      <w:r>
        <w:rPr>
          <w:rFonts w:ascii="Times New Roman" w:hAnsi="Times New Roman" w:cs="Times New Roman"/>
          <w:position w:val="2"/>
          <w:lang w:eastAsia="zh-CN"/>
        </w:rPr>
        <w:t>5</w:t>
      </w:r>
      <w:r>
        <w:rPr>
          <w:rFonts w:hint="eastAsia" w:ascii="Times New Roman" w:hAnsi="Times New Roman" w:cs="Times New Roman"/>
          <w:position w:val="2"/>
          <w:lang w:eastAsia="zh-CN"/>
        </w:rPr>
        <w:t xml:space="preserve"> </w:t>
      </w:r>
      <w:r>
        <w:rPr>
          <w:rFonts w:ascii="Times New Roman" w:hAnsi="Times New Roman" w:cs="Times New Roman"/>
          <w:lang w:eastAsia="zh-CN"/>
        </w:rPr>
        <w:t>t/a</w:t>
      </w:r>
      <w:r>
        <w:rPr>
          <w:rFonts w:hint="eastAsia" w:ascii="Times New Roman" w:hAnsi="Times New Roman" w:cs="Times New Roman"/>
          <w:position w:val="2"/>
          <w:lang w:eastAsia="zh-CN"/>
        </w:rPr>
        <w:t>。</w:t>
      </w:r>
    </w:p>
    <w:p>
      <w:pPr>
        <w:spacing w:line="480" w:lineRule="exact"/>
        <w:ind w:firstLine="482" w:firstLineChars="200"/>
        <w:rPr>
          <w:rFonts w:ascii="Times New Roman" w:hAnsi="Times New Roman" w:eastAsia="宋体"/>
          <w:b/>
          <w:kern w:val="0"/>
          <w:sz w:val="24"/>
          <w:szCs w:val="24"/>
        </w:rPr>
      </w:pPr>
      <w:r>
        <w:rPr>
          <w:rFonts w:hint="eastAsia" w:ascii="Times New Roman" w:hAnsi="Times New Roman" w:eastAsia="宋体"/>
          <w:b/>
          <w:kern w:val="0"/>
          <w:sz w:val="24"/>
          <w:szCs w:val="24"/>
        </w:rPr>
        <w:t>（3</w:t>
      </w:r>
      <w:r>
        <w:rPr>
          <w:rFonts w:ascii="Times New Roman" w:hAnsi="Times New Roman" w:eastAsia="宋体"/>
          <w:b/>
          <w:kern w:val="0"/>
          <w:sz w:val="24"/>
          <w:szCs w:val="24"/>
        </w:rPr>
        <w:t>）</w:t>
      </w:r>
      <w:r>
        <w:rPr>
          <w:rFonts w:hint="eastAsia" w:ascii="Times New Roman" w:hAnsi="Times New Roman" w:eastAsia="宋体"/>
          <w:b/>
          <w:kern w:val="0"/>
          <w:sz w:val="24"/>
          <w:szCs w:val="24"/>
        </w:rPr>
        <w:t>导热油炉废气</w:t>
      </w:r>
    </w:p>
    <w:p>
      <w:pPr>
        <w:pStyle w:val="7"/>
        <w:spacing w:line="480" w:lineRule="exact"/>
        <w:ind w:right="108" w:firstLine="480" w:firstLineChars="200"/>
        <w:jc w:val="both"/>
        <w:rPr>
          <w:rFonts w:ascii="Times New Roman" w:hAnsi="Times New Roman" w:cs="Times New Roman"/>
          <w:b/>
          <w:lang w:eastAsia="zh-CN"/>
        </w:rPr>
      </w:pPr>
      <w:r>
        <w:rPr>
          <w:rFonts w:hint="eastAsia" w:ascii="Times New Roman" w:hAnsi="Times New Roman" w:cs="Times New Roman"/>
          <w:lang w:eastAsia="zh-CN"/>
        </w:rPr>
        <w:t>项目原拟采用</w:t>
      </w:r>
      <w:r>
        <w:rPr>
          <w:rFonts w:hint="eastAsia" w:ascii="Times New Roman" w:hAnsi="Times New Roman"/>
          <w:lang w:eastAsia="zh-CN"/>
        </w:rPr>
        <w:t>1</w:t>
      </w:r>
      <w:r>
        <w:rPr>
          <w:rFonts w:ascii="Times New Roman" w:hAnsi="Times New Roman"/>
          <w:lang w:eastAsia="zh-CN"/>
        </w:rPr>
        <w:t>台</w:t>
      </w:r>
      <w:r>
        <w:rPr>
          <w:rFonts w:hint="eastAsia" w:ascii="Times New Roman" w:hAnsi="Times New Roman"/>
          <w:lang w:eastAsia="zh-CN"/>
        </w:rPr>
        <w:t>Q=9800kw</w:t>
      </w:r>
      <w:r>
        <w:rPr>
          <w:rFonts w:hint="eastAsia" w:ascii="Times New Roman" w:hAnsi="Times New Roman"/>
          <w:spacing w:val="-4"/>
          <w:lang w:eastAsia="zh-CN"/>
        </w:rPr>
        <w:t>熔盐炉</w:t>
      </w:r>
      <w:r>
        <w:rPr>
          <w:rFonts w:hint="eastAsia" w:ascii="Times New Roman" w:hAnsi="Times New Roman" w:cs="Times New Roman"/>
          <w:lang w:eastAsia="zh-CN"/>
        </w:rPr>
        <w:t>，为装置区内生产设备提供热源。</w:t>
      </w:r>
      <w:r>
        <w:rPr>
          <w:rFonts w:hint="eastAsia" w:ascii="Times New Roman" w:hAnsi="Times New Roman" w:cs="Times New Roman"/>
          <w:b/>
          <w:lang w:eastAsia="zh-CN"/>
        </w:rPr>
        <w:t>变更后，</w:t>
      </w:r>
      <w:r>
        <w:rPr>
          <w:rFonts w:ascii="Times New Roman" w:hAnsi="Times New Roman" w:cs="Times New Roman"/>
          <w:b/>
          <w:lang w:eastAsia="zh-CN"/>
        </w:rPr>
        <w:t>项目</w:t>
      </w:r>
      <w:r>
        <w:rPr>
          <w:rFonts w:hint="eastAsia" w:ascii="Times New Roman" w:hAnsi="Times New Roman" w:cs="Times New Roman"/>
          <w:b/>
          <w:lang w:eastAsia="zh-CN"/>
        </w:rPr>
        <w:t>拟采用1台</w:t>
      </w:r>
      <w:r>
        <w:rPr>
          <w:rFonts w:hint="eastAsia" w:ascii="Times New Roman" w:hAnsi="Times New Roman"/>
          <w:b/>
          <w:szCs w:val="21"/>
          <w:lang w:eastAsia="zh-CN"/>
        </w:rPr>
        <w:t>导热油炉替代，</w:t>
      </w:r>
      <w:r>
        <w:rPr>
          <w:rFonts w:ascii="Times New Roman" w:hAnsi="Times New Roman"/>
          <w:b/>
          <w:szCs w:val="21"/>
          <w:lang w:eastAsia="zh-CN"/>
        </w:rPr>
        <w:t>导热介质</w:t>
      </w:r>
      <w:r>
        <w:rPr>
          <w:rFonts w:hint="eastAsia" w:ascii="Times New Roman" w:hAnsi="Times New Roman"/>
          <w:b/>
          <w:szCs w:val="21"/>
          <w:lang w:eastAsia="zh-CN"/>
        </w:rPr>
        <w:t>发生改变。由于项目工艺优化，缩短了工艺路线，去掉了薄膜蒸发及糠醛精制等装置，与原工艺相比，</w:t>
      </w:r>
      <w:r>
        <w:rPr>
          <w:rFonts w:ascii="Times New Roman" w:hAnsi="Times New Roman"/>
          <w:b/>
          <w:szCs w:val="21"/>
          <w:lang w:eastAsia="zh-CN"/>
        </w:rPr>
        <w:t>减少</w:t>
      </w:r>
      <w:r>
        <w:rPr>
          <w:rFonts w:hint="eastAsia" w:ascii="Times New Roman" w:hAnsi="Times New Roman"/>
          <w:b/>
          <w:szCs w:val="21"/>
          <w:lang w:eastAsia="zh-CN"/>
        </w:rPr>
        <w:t>了设备的换热量，从而减少了导热油炉天然气的消耗量。</w:t>
      </w:r>
    </w:p>
    <w:p>
      <w:pPr>
        <w:pStyle w:val="7"/>
        <w:spacing w:line="480" w:lineRule="exact"/>
        <w:ind w:right="108" w:firstLine="480" w:firstLineChars="200"/>
        <w:jc w:val="both"/>
        <w:rPr>
          <w:rFonts w:ascii="Times New Roman" w:hAnsi="Times New Roman" w:eastAsiaTheme="minorEastAsia"/>
          <w:szCs w:val="21"/>
          <w:lang w:eastAsia="zh-CN"/>
        </w:rPr>
      </w:pPr>
      <w:r>
        <w:rPr>
          <w:rFonts w:hint="eastAsia" w:ascii="Times New Roman" w:hAnsi="Times New Roman" w:cs="Times New Roman"/>
          <w:lang w:eastAsia="zh-CN"/>
        </w:rPr>
        <w:t>变更后，</w:t>
      </w:r>
      <w:r>
        <w:rPr>
          <w:rFonts w:ascii="Times New Roman" w:hAnsi="Times New Roman" w:cs="Times New Roman"/>
          <w:lang w:eastAsia="zh-CN"/>
        </w:rPr>
        <w:t>天然气</w:t>
      </w:r>
      <w:r>
        <w:rPr>
          <w:rFonts w:hint="eastAsia" w:ascii="Times New Roman" w:hAnsi="Times New Roman" w:cs="Times New Roman"/>
          <w:lang w:eastAsia="zh-CN"/>
        </w:rPr>
        <w:t xml:space="preserve">的消耗量由1123 </w:t>
      </w:r>
      <w:r>
        <w:rPr>
          <w:rFonts w:ascii="Times New Roman" w:hAnsi="Times New Roman" w:eastAsia="Times New Roman"/>
          <w:spacing w:val="-7"/>
          <w:lang w:eastAsia="zh-CN"/>
        </w:rPr>
        <w:t>Nm</w:t>
      </w:r>
      <w:r>
        <w:rPr>
          <w:rFonts w:ascii="Times New Roman" w:hAnsi="Times New Roman" w:eastAsia="Times New Roman"/>
          <w:spacing w:val="-7"/>
          <w:position w:val="8"/>
          <w:sz w:val="15"/>
          <w:lang w:eastAsia="zh-CN"/>
        </w:rPr>
        <w:t>3</w:t>
      </w:r>
      <w:r>
        <w:rPr>
          <w:rFonts w:ascii="Times New Roman" w:hAnsi="Times New Roman" w:eastAsia="Times New Roman"/>
          <w:spacing w:val="-7"/>
          <w:lang w:eastAsia="zh-CN"/>
        </w:rPr>
        <w:t>/h</w:t>
      </w:r>
      <w:r>
        <w:rPr>
          <w:rFonts w:ascii="Times New Roman" w:hAnsi="Times New Roman"/>
          <w:szCs w:val="21"/>
          <w:lang w:eastAsia="zh-CN"/>
        </w:rPr>
        <w:t>减少</w:t>
      </w:r>
      <w:r>
        <w:rPr>
          <w:rFonts w:hint="eastAsia" w:ascii="Times New Roman" w:hAnsi="Times New Roman"/>
          <w:szCs w:val="21"/>
          <w:lang w:eastAsia="zh-CN"/>
        </w:rPr>
        <w:t>为712.75</w:t>
      </w:r>
      <w:r>
        <w:rPr>
          <w:rFonts w:hint="eastAsia" w:ascii="Times New Roman" w:hAnsi="Times New Roman" w:cs="Times New Roman"/>
          <w:lang w:eastAsia="zh-CN"/>
        </w:rPr>
        <w:t xml:space="preserve"> </w:t>
      </w:r>
      <w:r>
        <w:rPr>
          <w:rFonts w:ascii="Times New Roman" w:hAnsi="Times New Roman" w:eastAsia="Times New Roman"/>
          <w:spacing w:val="-7"/>
          <w:lang w:eastAsia="zh-CN"/>
        </w:rPr>
        <w:t>Nm</w:t>
      </w:r>
      <w:r>
        <w:rPr>
          <w:rFonts w:ascii="Times New Roman" w:hAnsi="Times New Roman"/>
          <w:lang w:eastAsia="zh-CN"/>
        </w:rPr>
        <w:t>³</w:t>
      </w:r>
      <w:r>
        <w:rPr>
          <w:rFonts w:ascii="Times New Roman" w:hAnsi="Times New Roman" w:eastAsia="Times New Roman"/>
          <w:spacing w:val="-7"/>
          <w:lang w:eastAsia="zh-CN"/>
        </w:rPr>
        <w:t>/h</w:t>
      </w:r>
      <w:r>
        <w:rPr>
          <w:rFonts w:hint="eastAsia" w:ascii="Times New Roman" w:hAnsi="Times New Roman" w:eastAsiaTheme="minorEastAsia"/>
          <w:spacing w:val="-7"/>
          <w:lang w:eastAsia="zh-CN"/>
        </w:rPr>
        <w:t>。</w:t>
      </w:r>
      <w:r>
        <w:rPr>
          <w:rFonts w:ascii="Times New Roman" w:hAnsi="Times New Roman"/>
          <w:spacing w:val="-4"/>
          <w:lang w:eastAsia="zh-CN"/>
        </w:rPr>
        <w:t>根据《环境保护计算手册》，</w:t>
      </w:r>
      <w:r>
        <w:rPr>
          <w:rFonts w:hint="eastAsia" w:ascii="Times New Roman" w:hAnsi="Times New Roman"/>
          <w:szCs w:val="21"/>
          <w:lang w:eastAsia="zh-CN"/>
        </w:rPr>
        <w:t xml:space="preserve">经计算，锅炉的烟气产生总量由12240.7 </w:t>
      </w:r>
      <w:r>
        <w:rPr>
          <w:rFonts w:ascii="Times New Roman" w:hAnsi="Times New Roman" w:eastAsia="Times New Roman"/>
          <w:spacing w:val="-7"/>
          <w:lang w:eastAsia="zh-CN"/>
        </w:rPr>
        <w:t>Nm</w:t>
      </w:r>
      <w:r>
        <w:rPr>
          <w:rFonts w:ascii="Times New Roman" w:hAnsi="Times New Roman"/>
          <w:lang w:eastAsia="zh-CN"/>
        </w:rPr>
        <w:t>³</w:t>
      </w:r>
      <w:r>
        <w:rPr>
          <w:rFonts w:ascii="Times New Roman" w:hAnsi="Times New Roman" w:eastAsia="Times New Roman"/>
          <w:spacing w:val="-7"/>
          <w:lang w:eastAsia="zh-CN"/>
        </w:rPr>
        <w:t>/h</w:t>
      </w:r>
      <w:r>
        <w:rPr>
          <w:rFonts w:hint="eastAsia" w:ascii="Times New Roman" w:hAnsi="Times New Roman"/>
          <w:szCs w:val="21"/>
          <w:lang w:eastAsia="zh-CN"/>
        </w:rPr>
        <w:t>减少为7768.975</w:t>
      </w:r>
      <w:r>
        <w:rPr>
          <w:rFonts w:ascii="Times New Roman" w:hAnsi="Times New Roman"/>
          <w:szCs w:val="21"/>
          <w:lang w:eastAsia="zh-CN"/>
        </w:rPr>
        <w:t xml:space="preserve"> </w:t>
      </w:r>
      <w:r>
        <w:rPr>
          <w:rFonts w:ascii="Times New Roman" w:hAnsi="Times New Roman" w:eastAsia="Times New Roman"/>
          <w:spacing w:val="-7"/>
          <w:lang w:eastAsia="zh-CN"/>
        </w:rPr>
        <w:t>Nm</w:t>
      </w:r>
      <w:r>
        <w:rPr>
          <w:rFonts w:ascii="Times New Roman" w:hAnsi="Times New Roman"/>
          <w:lang w:eastAsia="zh-CN"/>
        </w:rPr>
        <w:t>³</w:t>
      </w:r>
      <w:r>
        <w:rPr>
          <w:rFonts w:ascii="Times New Roman" w:hAnsi="Times New Roman" w:eastAsia="Times New Roman"/>
          <w:spacing w:val="-7"/>
          <w:lang w:eastAsia="zh-CN"/>
        </w:rPr>
        <w:t>/h</w:t>
      </w:r>
      <w:r>
        <w:rPr>
          <w:rFonts w:hint="eastAsia" w:ascii="Times New Roman" w:hAnsi="Times New Roman" w:eastAsiaTheme="minorEastAsia"/>
          <w:spacing w:val="-7"/>
          <w:lang w:eastAsia="zh-CN"/>
        </w:rPr>
        <w:t>。</w:t>
      </w:r>
      <w:r>
        <w:rPr>
          <w:rFonts w:ascii="Times New Roman" w:hAnsi="Times New Roman"/>
          <w:lang w:eastAsia="zh-CN"/>
        </w:rPr>
        <w:t>根据设计单位提供的资料，</w:t>
      </w:r>
      <w:r>
        <w:rPr>
          <w:rFonts w:hint="eastAsia" w:ascii="Times New Roman" w:hAnsi="Times New Roman"/>
          <w:lang w:eastAsia="zh-CN"/>
        </w:rPr>
        <w:t>导热油炉</w:t>
      </w:r>
      <w:r>
        <w:rPr>
          <w:rFonts w:ascii="Times New Roman" w:hAnsi="Times New Roman"/>
          <w:lang w:eastAsia="zh-CN"/>
        </w:rPr>
        <w:t>烟气排放温度为200</w:t>
      </w:r>
      <w:r>
        <w:rPr>
          <w:rFonts w:hint="eastAsia" w:ascii="Times New Roman" w:hAnsi="Times New Roman"/>
          <w:lang w:eastAsia="zh-CN"/>
        </w:rPr>
        <w:t>℃</w:t>
      </w:r>
      <w:r>
        <w:rPr>
          <w:rFonts w:ascii="Times New Roman" w:hAnsi="Times New Roman"/>
          <w:lang w:eastAsia="zh-CN"/>
        </w:rPr>
        <w:t>，</w:t>
      </w:r>
      <w:r>
        <w:rPr>
          <w:rFonts w:hint="eastAsia" w:ascii="Times New Roman" w:hAnsi="Times New Roman"/>
          <w:lang w:eastAsia="zh-CN"/>
        </w:rPr>
        <w:t>则导热油炉</w:t>
      </w:r>
      <w:r>
        <w:rPr>
          <w:rFonts w:ascii="Times New Roman" w:hAnsi="Times New Roman"/>
          <w:lang w:eastAsia="zh-CN"/>
        </w:rPr>
        <w:t>的实际烟气排放量</w:t>
      </w:r>
      <w:r>
        <w:rPr>
          <w:rFonts w:hint="eastAsia" w:ascii="Times New Roman" w:hAnsi="Times New Roman"/>
          <w:lang w:eastAsia="zh-CN"/>
        </w:rPr>
        <w:t>由</w:t>
      </w:r>
      <w:r>
        <w:rPr>
          <w:rFonts w:hint="eastAsia" w:ascii="Times New Roman" w:hAnsi="Times New Roman" w:eastAsia="Times New Roman"/>
          <w:lang w:eastAsia="zh-CN"/>
        </w:rPr>
        <w:t>21176.</w:t>
      </w:r>
      <w:r>
        <w:rPr>
          <w:rFonts w:ascii="Times New Roman" w:hAnsi="Times New Roman" w:eastAsia="Times New Roman"/>
          <w:lang w:eastAsia="zh-CN"/>
        </w:rPr>
        <w:t>4 m</w:t>
      </w:r>
      <w:r>
        <w:rPr>
          <w:rFonts w:ascii="Times New Roman" w:hAnsi="Times New Roman"/>
          <w:lang w:eastAsia="zh-CN"/>
        </w:rPr>
        <w:t>³</w:t>
      </w:r>
      <w:r>
        <w:rPr>
          <w:rFonts w:ascii="Times New Roman" w:hAnsi="Times New Roman" w:eastAsia="Times New Roman"/>
          <w:lang w:eastAsia="zh-CN"/>
        </w:rPr>
        <w:t>/h</w:t>
      </w:r>
      <w:r>
        <w:rPr>
          <w:rFonts w:hint="eastAsia" w:ascii="Times New Roman" w:hAnsi="Times New Roman"/>
          <w:lang w:eastAsia="zh-CN"/>
        </w:rPr>
        <w:t>减少为1344</w:t>
      </w:r>
      <w:r>
        <w:rPr>
          <w:rFonts w:ascii="Times New Roman" w:hAnsi="Times New Roman"/>
          <w:lang w:eastAsia="zh-CN"/>
        </w:rPr>
        <w:t>0</w:t>
      </w:r>
      <w:r>
        <w:rPr>
          <w:rFonts w:hint="eastAsia" w:ascii="Times New Roman" w:hAnsi="Times New Roman"/>
          <w:lang w:eastAsia="zh-CN"/>
        </w:rPr>
        <w:t>.</w:t>
      </w:r>
      <w:r>
        <w:rPr>
          <w:rFonts w:ascii="Times New Roman" w:hAnsi="Times New Roman"/>
          <w:lang w:eastAsia="zh-CN"/>
        </w:rPr>
        <w:t xml:space="preserve">3 </w:t>
      </w:r>
      <w:r>
        <w:rPr>
          <w:rFonts w:ascii="Times New Roman" w:hAnsi="Times New Roman" w:eastAsia="Times New Roman"/>
          <w:lang w:eastAsia="zh-CN"/>
        </w:rPr>
        <w:t>m</w:t>
      </w:r>
      <w:r>
        <w:rPr>
          <w:rFonts w:ascii="Times New Roman" w:hAnsi="Times New Roman"/>
          <w:lang w:eastAsia="zh-CN"/>
        </w:rPr>
        <w:t>³</w:t>
      </w:r>
      <w:r>
        <w:rPr>
          <w:rFonts w:ascii="Times New Roman" w:hAnsi="Times New Roman" w:eastAsia="Times New Roman"/>
          <w:lang w:eastAsia="zh-CN"/>
        </w:rPr>
        <w:t>/h</w:t>
      </w:r>
      <w:r>
        <w:rPr>
          <w:rFonts w:hint="eastAsia" w:ascii="Times New Roman" w:hAnsi="Times New Roman" w:eastAsiaTheme="minorEastAsia"/>
          <w:lang w:eastAsia="zh-CN"/>
        </w:rPr>
        <w:t>。</w:t>
      </w:r>
    </w:p>
    <w:p>
      <w:pPr>
        <w:pStyle w:val="7"/>
        <w:spacing w:line="480" w:lineRule="exact"/>
        <w:ind w:firstLine="480" w:firstLineChars="200"/>
        <w:jc w:val="both"/>
        <w:rPr>
          <w:rFonts w:ascii="Times New Roman" w:hAnsi="Times New Roman" w:cs="Times New Roman"/>
          <w:lang w:eastAsia="zh-CN"/>
        </w:rPr>
      </w:pPr>
      <w:r>
        <w:rPr>
          <w:rFonts w:ascii="Times New Roman" w:hAnsi="Times New Roman" w:cs="Times New Roman"/>
          <w:lang w:eastAsia="zh-CN"/>
        </w:rPr>
        <w:t>天然气中含硫量按</w:t>
      </w:r>
      <w:r>
        <w:rPr>
          <w:rFonts w:hint="eastAsia" w:ascii="Times New Roman" w:hAnsi="Times New Roman" w:cs="Times New Roman"/>
          <w:lang w:eastAsia="zh-CN"/>
        </w:rPr>
        <w:t>12</w:t>
      </w:r>
      <w:r>
        <w:rPr>
          <w:rFonts w:ascii="Times New Roman" w:hAnsi="Times New Roman" w:cs="Times New Roman"/>
          <w:lang w:eastAsia="zh-CN"/>
        </w:rPr>
        <w:t>mg/m</w:t>
      </w:r>
      <w:r>
        <w:rPr>
          <w:rFonts w:ascii="Times New Roman" w:hAnsi="Times New Roman"/>
          <w:lang w:eastAsia="zh-CN"/>
        </w:rPr>
        <w:t>³</w:t>
      </w:r>
      <w:r>
        <w:rPr>
          <w:rFonts w:ascii="Times New Roman" w:hAnsi="Times New Roman" w:cs="Times New Roman"/>
          <w:lang w:eastAsia="zh-CN"/>
        </w:rPr>
        <w:t>（以H</w:t>
      </w:r>
      <w:r>
        <w:rPr>
          <w:rFonts w:ascii="Times New Roman" w:hAnsi="Times New Roman" w:cs="Times New Roman"/>
          <w:vertAlign w:val="subscript"/>
          <w:lang w:eastAsia="zh-CN"/>
        </w:rPr>
        <w:t>2</w:t>
      </w:r>
      <w:r>
        <w:rPr>
          <w:rFonts w:ascii="Times New Roman" w:hAnsi="Times New Roman" w:cs="Times New Roman"/>
          <w:lang w:eastAsia="zh-CN"/>
        </w:rPr>
        <w:t>S计）计算，则锅炉的燃烧烟气中SO</w:t>
      </w:r>
      <w:r>
        <w:rPr>
          <w:rFonts w:ascii="Times New Roman" w:hAnsi="Times New Roman" w:cs="Times New Roman"/>
          <w:vertAlign w:val="subscript"/>
          <w:lang w:eastAsia="zh-CN"/>
        </w:rPr>
        <w:t>2</w:t>
      </w:r>
      <w:r>
        <w:rPr>
          <w:rFonts w:ascii="Times New Roman" w:hAnsi="Times New Roman" w:cs="Times New Roman"/>
          <w:lang w:eastAsia="zh-CN"/>
        </w:rPr>
        <w:t>产生量</w:t>
      </w:r>
      <w:r>
        <w:rPr>
          <w:rFonts w:hint="eastAsia" w:ascii="Times New Roman" w:hAnsi="Times New Roman" w:cs="Times New Roman"/>
          <w:lang w:eastAsia="zh-CN"/>
        </w:rPr>
        <w:t>由</w:t>
      </w:r>
      <w:r>
        <w:rPr>
          <w:rFonts w:ascii="Times New Roman" w:hAnsi="Times New Roman" w:cs="Times New Roman"/>
          <w:lang w:eastAsia="zh-CN"/>
        </w:rPr>
        <w:t>0.22 t/a</w:t>
      </w:r>
      <w:r>
        <w:rPr>
          <w:rFonts w:hint="eastAsia" w:ascii="Times New Roman" w:hAnsi="Times New Roman" w:cs="Times New Roman"/>
          <w:lang w:eastAsia="zh-CN"/>
        </w:rPr>
        <w:t>减少为</w:t>
      </w:r>
      <w:r>
        <w:rPr>
          <w:rFonts w:ascii="Times New Roman" w:hAnsi="Times New Roman" w:cs="Times New Roman"/>
          <w:lang w:eastAsia="zh-CN"/>
        </w:rPr>
        <w:t>0.14</w:t>
      </w:r>
      <w:r>
        <w:rPr>
          <w:rFonts w:hint="eastAsia" w:ascii="Times New Roman" w:hAnsi="Times New Roman" w:cs="Times New Roman"/>
          <w:lang w:eastAsia="zh-CN"/>
        </w:rPr>
        <w:t xml:space="preserve"> </w:t>
      </w:r>
      <w:r>
        <w:rPr>
          <w:rFonts w:ascii="Times New Roman" w:hAnsi="Times New Roman" w:cs="Times New Roman"/>
          <w:lang w:eastAsia="zh-CN"/>
        </w:rPr>
        <w:t>t/a。</w:t>
      </w:r>
    </w:p>
    <w:p>
      <w:pPr>
        <w:pStyle w:val="7"/>
        <w:spacing w:line="480" w:lineRule="exact"/>
        <w:ind w:firstLine="480" w:firstLineChars="200"/>
        <w:jc w:val="both"/>
        <w:rPr>
          <w:rFonts w:ascii="Times New Roman" w:hAnsi="Times New Roman" w:cs="Times New Roman"/>
          <w:position w:val="2"/>
          <w:lang w:eastAsia="zh-CN"/>
        </w:rPr>
      </w:pPr>
      <w:r>
        <w:rPr>
          <w:rFonts w:ascii="Times New Roman" w:hAnsi="Times New Roman" w:cs="Times New Roman"/>
          <w:lang w:eastAsia="zh-CN"/>
        </w:rPr>
        <w:t>根据《环境保护实用手册》</w:t>
      </w:r>
      <w:r>
        <w:rPr>
          <w:rFonts w:hint="eastAsia" w:ascii="Times New Roman" w:hAnsi="Times New Roman" w:cs="Times New Roman"/>
          <w:lang w:eastAsia="zh-CN"/>
        </w:rPr>
        <w:t>（</w:t>
      </w:r>
      <w:r>
        <w:rPr>
          <w:rFonts w:ascii="Times New Roman" w:hAnsi="Times New Roman" w:cs="Times New Roman"/>
          <w:lang w:eastAsia="zh-CN"/>
        </w:rPr>
        <w:t>胡名操</w:t>
      </w:r>
      <w:r>
        <w:rPr>
          <w:rFonts w:hint="eastAsia" w:ascii="Times New Roman" w:hAnsi="Times New Roman" w:cs="Times New Roman"/>
          <w:lang w:eastAsia="zh-CN"/>
        </w:rPr>
        <w:t>）</w:t>
      </w:r>
      <w:r>
        <w:rPr>
          <w:rFonts w:ascii="Times New Roman" w:hAnsi="Times New Roman" w:cs="Times New Roman"/>
          <w:lang w:eastAsia="zh-CN"/>
        </w:rPr>
        <w:t>中统计，燃烧10000Nm</w:t>
      </w:r>
      <w:r>
        <w:rPr>
          <w:rFonts w:ascii="Times New Roman" w:hAnsi="Times New Roman"/>
          <w:lang w:eastAsia="zh-CN"/>
        </w:rPr>
        <w:t>³</w:t>
      </w:r>
      <w:r>
        <w:rPr>
          <w:rFonts w:ascii="Times New Roman" w:hAnsi="Times New Roman" w:cs="Times New Roman"/>
          <w:lang w:eastAsia="zh-CN"/>
        </w:rPr>
        <w:t>天然气燃烧产生2.4 kg烟尘，6.3 kg NO</w:t>
      </w:r>
      <w:r>
        <w:rPr>
          <w:rFonts w:ascii="Times New Roman" w:hAnsi="Times New Roman" w:cs="Times New Roman"/>
          <w:vertAlign w:val="subscript"/>
          <w:lang w:eastAsia="zh-CN"/>
        </w:rPr>
        <w:t>2</w:t>
      </w:r>
      <w:r>
        <w:rPr>
          <w:rFonts w:ascii="Times New Roman" w:hAnsi="Times New Roman" w:cs="Times New Roman"/>
          <w:lang w:eastAsia="zh-CN"/>
        </w:rPr>
        <w:t>。</w:t>
      </w:r>
      <w:r>
        <w:rPr>
          <w:rFonts w:hint="eastAsia" w:ascii="Times New Roman" w:hAnsi="Times New Roman" w:cs="Times New Roman"/>
          <w:position w:val="2"/>
          <w:lang w:eastAsia="zh-CN"/>
        </w:rPr>
        <w:t>则锅炉的燃烧烟气中烟尘的产生量由</w:t>
      </w:r>
      <w:r>
        <w:rPr>
          <w:rFonts w:ascii="Times New Roman" w:hAnsi="Times New Roman" w:cs="Times New Roman"/>
          <w:position w:val="2"/>
          <w:lang w:eastAsia="zh-CN"/>
        </w:rPr>
        <w:t>2.2 t</w:t>
      </w:r>
      <w:r>
        <w:rPr>
          <w:rFonts w:hint="eastAsia" w:ascii="Times New Roman" w:hAnsi="Times New Roman" w:cs="Times New Roman"/>
          <w:position w:val="2"/>
          <w:lang w:eastAsia="zh-CN"/>
        </w:rPr>
        <w:t>/a减少为</w:t>
      </w:r>
      <w:r>
        <w:rPr>
          <w:rFonts w:ascii="Times New Roman" w:hAnsi="Times New Roman" w:cs="Times New Roman"/>
          <w:position w:val="2"/>
          <w:lang w:eastAsia="zh-CN"/>
        </w:rPr>
        <w:t>1.4</w:t>
      </w:r>
      <w:r>
        <w:rPr>
          <w:rFonts w:hint="eastAsia" w:ascii="Times New Roman" w:hAnsi="Times New Roman" w:cs="Times New Roman"/>
          <w:position w:val="2"/>
          <w:lang w:eastAsia="zh-CN"/>
        </w:rPr>
        <w:t xml:space="preserve"> </w:t>
      </w:r>
      <w:r>
        <w:rPr>
          <w:rFonts w:ascii="Times New Roman" w:hAnsi="Times New Roman" w:cs="Times New Roman"/>
          <w:lang w:eastAsia="zh-CN"/>
        </w:rPr>
        <w:t>t/a</w:t>
      </w:r>
      <w:r>
        <w:rPr>
          <w:rFonts w:hint="eastAsia" w:ascii="Times New Roman" w:hAnsi="Times New Roman" w:cs="Times New Roman"/>
          <w:position w:val="2"/>
          <w:lang w:eastAsia="zh-CN"/>
        </w:rPr>
        <w:t>，</w:t>
      </w:r>
      <w:r>
        <w:rPr>
          <w:rFonts w:ascii="Times New Roman" w:hAnsi="Times New Roman" w:cs="Times New Roman"/>
          <w:position w:val="2"/>
          <w:lang w:eastAsia="zh-CN"/>
        </w:rPr>
        <w:t>NO</w:t>
      </w:r>
      <w:r>
        <w:rPr>
          <w:rFonts w:ascii="Times New Roman" w:hAnsi="Times New Roman" w:cs="Times New Roman"/>
          <w:sz w:val="15"/>
          <w:szCs w:val="15"/>
          <w:lang w:eastAsia="zh-CN"/>
        </w:rPr>
        <w:t>2</w:t>
      </w:r>
      <w:r>
        <w:rPr>
          <w:rFonts w:hint="eastAsia" w:ascii="Times New Roman" w:hAnsi="Times New Roman" w:cs="Times New Roman"/>
          <w:position w:val="2"/>
          <w:lang w:eastAsia="zh-CN"/>
        </w:rPr>
        <w:t>产生量由</w:t>
      </w:r>
      <w:r>
        <w:rPr>
          <w:rFonts w:ascii="Times New Roman" w:hAnsi="Times New Roman" w:cs="Times New Roman"/>
          <w:position w:val="2"/>
          <w:lang w:eastAsia="zh-CN"/>
        </w:rPr>
        <w:t>5.7</w:t>
      </w:r>
      <w:r>
        <w:rPr>
          <w:rFonts w:hint="eastAsia" w:ascii="Times New Roman" w:hAnsi="Times New Roman" w:cs="Times New Roman"/>
          <w:position w:val="2"/>
          <w:lang w:eastAsia="zh-CN"/>
        </w:rPr>
        <w:t xml:space="preserve"> </w:t>
      </w:r>
      <w:r>
        <w:rPr>
          <w:rFonts w:ascii="Times New Roman" w:hAnsi="Times New Roman" w:cs="Times New Roman"/>
          <w:lang w:eastAsia="zh-CN"/>
        </w:rPr>
        <w:t>t/a</w:t>
      </w:r>
      <w:r>
        <w:rPr>
          <w:rFonts w:hint="eastAsia" w:ascii="Times New Roman" w:hAnsi="Times New Roman" w:cs="Times New Roman"/>
          <w:position w:val="2"/>
          <w:lang w:eastAsia="zh-CN"/>
        </w:rPr>
        <w:t>减少为</w:t>
      </w:r>
      <w:r>
        <w:rPr>
          <w:rFonts w:ascii="Times New Roman" w:hAnsi="Times New Roman" w:cs="Times New Roman"/>
          <w:position w:val="2"/>
          <w:lang w:eastAsia="zh-CN"/>
        </w:rPr>
        <w:t xml:space="preserve">3.6 </w:t>
      </w:r>
      <w:r>
        <w:rPr>
          <w:rFonts w:ascii="Times New Roman" w:hAnsi="Times New Roman" w:cs="Times New Roman"/>
          <w:lang w:eastAsia="zh-CN"/>
        </w:rPr>
        <w:t>t/a</w:t>
      </w:r>
      <w:r>
        <w:rPr>
          <w:rFonts w:hint="eastAsia" w:ascii="Times New Roman" w:hAnsi="Times New Roman" w:cs="Times New Roman"/>
          <w:position w:val="2"/>
          <w:lang w:eastAsia="zh-CN"/>
        </w:rPr>
        <w:t>。</w:t>
      </w:r>
    </w:p>
    <w:p>
      <w:pPr>
        <w:spacing w:line="480" w:lineRule="exact"/>
        <w:ind w:firstLine="480" w:firstLineChars="200"/>
        <w:rPr>
          <w:rFonts w:ascii="Times New Roman" w:hAnsi="Times New Roman" w:eastAsia="黑体" w:cs="Times New Roman"/>
          <w:sz w:val="24"/>
        </w:rPr>
      </w:pPr>
      <w:r>
        <w:rPr>
          <w:rFonts w:hint="eastAsia" w:ascii="Times New Roman" w:hAnsi="Times New Roman" w:eastAsia="黑体" w:cs="Times New Roman"/>
          <w:sz w:val="24"/>
        </w:rPr>
        <w:t>表3.8</w:t>
      </w:r>
      <w:r>
        <w:rPr>
          <w:rFonts w:ascii="Times New Roman" w:hAnsi="Times New Roman" w:eastAsia="黑体" w:cs="Times New Roman"/>
          <w:sz w:val="24"/>
        </w:rPr>
        <w:t xml:space="preserve">-1  </w:t>
      </w:r>
      <w:r>
        <w:rPr>
          <w:rFonts w:hint="eastAsia" w:ascii="Times New Roman" w:hAnsi="Times New Roman" w:eastAsia="黑体" w:cs="Times New Roman"/>
          <w:sz w:val="24"/>
        </w:rPr>
        <w:t>项目变更前后熔盐炉/导热油炉污染物产排变化情况一览表</w:t>
      </w:r>
    </w:p>
    <w:tbl>
      <w:tblPr>
        <w:tblStyle w:val="19"/>
        <w:tblW w:w="10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969"/>
        <w:gridCol w:w="722"/>
        <w:gridCol w:w="1074"/>
        <w:gridCol w:w="658"/>
        <w:gridCol w:w="770"/>
        <w:gridCol w:w="725"/>
        <w:gridCol w:w="735"/>
        <w:gridCol w:w="748"/>
        <w:gridCol w:w="807"/>
        <w:gridCol w:w="798"/>
        <w:gridCol w:w="840"/>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969" w:type="dxa"/>
            <w:vMerge w:val="restart"/>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项目</w:t>
            </w:r>
          </w:p>
        </w:tc>
        <w:tc>
          <w:tcPr>
            <w:tcW w:w="969" w:type="dxa"/>
            <w:vMerge w:val="restart"/>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设备名称</w:t>
            </w:r>
          </w:p>
        </w:tc>
        <w:tc>
          <w:tcPr>
            <w:tcW w:w="722" w:type="dxa"/>
            <w:vMerge w:val="restart"/>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燃料耗量</w:t>
            </w:r>
            <w:r>
              <w:rPr>
                <w:rFonts w:ascii="Times New Roman" w:hAnsi="Times New Roman" w:eastAsia="宋体"/>
                <w:kern w:val="0"/>
                <w:sz w:val="18"/>
                <w:szCs w:val="18"/>
              </w:rPr>
              <w:t xml:space="preserve"> Nm</w:t>
            </w:r>
            <w:r>
              <w:rPr>
                <w:rFonts w:ascii="Times New Roman" w:hAnsi="Times New Roman" w:eastAsia="宋体"/>
                <w:kern w:val="0"/>
                <w:sz w:val="18"/>
                <w:szCs w:val="18"/>
                <w:vertAlign w:val="superscript"/>
              </w:rPr>
              <w:t>3</w:t>
            </w:r>
            <w:r>
              <w:rPr>
                <w:rFonts w:ascii="Times New Roman" w:hAnsi="Times New Roman" w:eastAsia="宋体"/>
                <w:kern w:val="0"/>
                <w:sz w:val="18"/>
                <w:szCs w:val="18"/>
              </w:rPr>
              <w:t>/h</w:t>
            </w:r>
          </w:p>
        </w:tc>
        <w:tc>
          <w:tcPr>
            <w:tcW w:w="1074" w:type="dxa"/>
            <w:vMerge w:val="restart"/>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烟气量</w:t>
            </w:r>
            <w:r>
              <w:rPr>
                <w:rFonts w:ascii="Times New Roman" w:hAnsi="Times New Roman" w:eastAsia="宋体"/>
                <w:kern w:val="0"/>
                <w:sz w:val="18"/>
                <w:szCs w:val="18"/>
              </w:rPr>
              <w:t>m</w:t>
            </w:r>
            <w:r>
              <w:rPr>
                <w:rFonts w:ascii="Times New Roman" w:hAnsi="Times New Roman" w:eastAsia="宋体"/>
                <w:kern w:val="0"/>
                <w:sz w:val="18"/>
                <w:szCs w:val="18"/>
                <w:vertAlign w:val="superscript"/>
              </w:rPr>
              <w:t>3</w:t>
            </w:r>
            <w:r>
              <w:rPr>
                <w:rFonts w:ascii="Times New Roman" w:hAnsi="Times New Roman" w:eastAsia="宋体"/>
                <w:kern w:val="0"/>
                <w:sz w:val="18"/>
                <w:szCs w:val="18"/>
              </w:rPr>
              <w:t>/h</w:t>
            </w:r>
          </w:p>
        </w:tc>
        <w:tc>
          <w:tcPr>
            <w:tcW w:w="2153" w:type="dxa"/>
            <w:gridSpan w:val="3"/>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排放口参数</w:t>
            </w:r>
          </w:p>
        </w:tc>
        <w:tc>
          <w:tcPr>
            <w:tcW w:w="1483" w:type="dxa"/>
            <w:gridSpan w:val="2"/>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烟尘</w:t>
            </w:r>
          </w:p>
        </w:tc>
        <w:tc>
          <w:tcPr>
            <w:tcW w:w="1605" w:type="dxa"/>
            <w:gridSpan w:val="2"/>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二氧化硫</w:t>
            </w:r>
          </w:p>
        </w:tc>
        <w:tc>
          <w:tcPr>
            <w:tcW w:w="1556" w:type="dxa"/>
            <w:gridSpan w:val="2"/>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氮氧化物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969" w:type="dxa"/>
            <w:vMerge w:val="continue"/>
            <w:vAlign w:val="center"/>
          </w:tcPr>
          <w:p>
            <w:pPr>
              <w:jc w:val="center"/>
              <w:rPr>
                <w:rFonts w:ascii="Times New Roman" w:hAnsi="Times New Roman" w:eastAsia="宋体"/>
                <w:kern w:val="0"/>
                <w:sz w:val="18"/>
                <w:szCs w:val="18"/>
              </w:rPr>
            </w:pPr>
          </w:p>
        </w:tc>
        <w:tc>
          <w:tcPr>
            <w:tcW w:w="969" w:type="dxa"/>
            <w:vMerge w:val="continue"/>
            <w:vAlign w:val="center"/>
          </w:tcPr>
          <w:p>
            <w:pPr>
              <w:jc w:val="center"/>
              <w:rPr>
                <w:rFonts w:ascii="Times New Roman" w:hAnsi="Times New Roman" w:eastAsia="宋体"/>
                <w:kern w:val="0"/>
                <w:sz w:val="18"/>
                <w:szCs w:val="18"/>
              </w:rPr>
            </w:pPr>
          </w:p>
        </w:tc>
        <w:tc>
          <w:tcPr>
            <w:tcW w:w="722" w:type="dxa"/>
            <w:vMerge w:val="continue"/>
            <w:vAlign w:val="center"/>
          </w:tcPr>
          <w:p>
            <w:pPr>
              <w:jc w:val="center"/>
              <w:rPr>
                <w:rFonts w:ascii="Times New Roman" w:hAnsi="Times New Roman" w:eastAsia="宋体"/>
                <w:kern w:val="0"/>
                <w:sz w:val="18"/>
                <w:szCs w:val="18"/>
              </w:rPr>
            </w:pPr>
          </w:p>
        </w:tc>
        <w:tc>
          <w:tcPr>
            <w:tcW w:w="1074" w:type="dxa"/>
            <w:vMerge w:val="continue"/>
            <w:vAlign w:val="center"/>
          </w:tcPr>
          <w:p>
            <w:pPr>
              <w:jc w:val="center"/>
              <w:rPr>
                <w:rFonts w:ascii="Times New Roman" w:hAnsi="Times New Roman" w:eastAsia="宋体"/>
                <w:kern w:val="0"/>
                <w:sz w:val="18"/>
                <w:szCs w:val="18"/>
              </w:rPr>
            </w:pPr>
          </w:p>
        </w:tc>
        <w:tc>
          <w:tcPr>
            <w:tcW w:w="658"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烟囱高度</w:t>
            </w:r>
            <w:r>
              <w:rPr>
                <w:rFonts w:ascii="Times New Roman" w:hAnsi="Times New Roman" w:eastAsia="宋体"/>
                <w:kern w:val="0"/>
                <w:sz w:val="18"/>
                <w:szCs w:val="18"/>
              </w:rPr>
              <w:t xml:space="preserve"> m</w:t>
            </w:r>
          </w:p>
        </w:tc>
        <w:tc>
          <w:tcPr>
            <w:tcW w:w="770"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内径</w:t>
            </w:r>
          </w:p>
          <w:p>
            <w:pPr>
              <w:jc w:val="center"/>
              <w:rPr>
                <w:rFonts w:ascii="Times New Roman" w:hAnsi="Times New Roman" w:eastAsia="宋体"/>
                <w:kern w:val="0"/>
                <w:sz w:val="18"/>
                <w:szCs w:val="18"/>
              </w:rPr>
            </w:pPr>
            <w:r>
              <w:rPr>
                <w:rFonts w:ascii="Times New Roman" w:hAnsi="Times New Roman" w:eastAsia="宋体"/>
                <w:kern w:val="0"/>
                <w:sz w:val="18"/>
                <w:szCs w:val="18"/>
              </w:rPr>
              <w:t>m</w:t>
            </w:r>
          </w:p>
        </w:tc>
        <w:tc>
          <w:tcPr>
            <w:tcW w:w="725"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温度</w:t>
            </w:r>
          </w:p>
          <w:p>
            <w:pPr>
              <w:jc w:val="center"/>
              <w:rPr>
                <w:rFonts w:ascii="Times New Roman" w:hAnsi="Times New Roman" w:eastAsia="宋体"/>
                <w:kern w:val="0"/>
                <w:sz w:val="18"/>
                <w:szCs w:val="18"/>
              </w:rPr>
            </w:pPr>
            <w:r>
              <w:rPr>
                <w:rFonts w:ascii="Times New Roman" w:hAnsi="Times New Roman" w:eastAsia="宋体"/>
                <w:kern w:val="0"/>
                <w:sz w:val="18"/>
                <w:szCs w:val="18"/>
              </w:rPr>
              <w:t>℃</w:t>
            </w:r>
          </w:p>
        </w:tc>
        <w:tc>
          <w:tcPr>
            <w:tcW w:w="735"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浓度</w:t>
            </w:r>
            <w:r>
              <w:rPr>
                <w:rFonts w:ascii="Times New Roman" w:hAnsi="Times New Roman" w:eastAsia="宋体"/>
                <w:kern w:val="0"/>
                <w:sz w:val="18"/>
                <w:szCs w:val="18"/>
              </w:rPr>
              <w:t>mg/m</w:t>
            </w:r>
            <w:r>
              <w:rPr>
                <w:rFonts w:ascii="Times New Roman" w:hAnsi="Times New Roman" w:eastAsia="宋体"/>
                <w:kern w:val="0"/>
                <w:sz w:val="18"/>
                <w:szCs w:val="18"/>
                <w:vertAlign w:val="superscript"/>
              </w:rPr>
              <w:t>3</w:t>
            </w:r>
          </w:p>
        </w:tc>
        <w:tc>
          <w:tcPr>
            <w:tcW w:w="748"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排放量</w:t>
            </w:r>
          </w:p>
          <w:p>
            <w:pPr>
              <w:jc w:val="center"/>
              <w:rPr>
                <w:rFonts w:ascii="Times New Roman" w:hAnsi="Times New Roman" w:eastAsia="宋体"/>
                <w:kern w:val="0"/>
                <w:sz w:val="18"/>
                <w:szCs w:val="18"/>
              </w:rPr>
            </w:pPr>
            <w:r>
              <w:rPr>
                <w:rFonts w:ascii="Times New Roman" w:hAnsi="Times New Roman" w:eastAsia="宋体"/>
                <w:kern w:val="0"/>
                <w:sz w:val="18"/>
                <w:szCs w:val="18"/>
              </w:rPr>
              <w:t>t/a</w:t>
            </w:r>
          </w:p>
        </w:tc>
        <w:tc>
          <w:tcPr>
            <w:tcW w:w="807"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浓度</w:t>
            </w:r>
            <w:r>
              <w:rPr>
                <w:rFonts w:ascii="Times New Roman" w:hAnsi="Times New Roman" w:eastAsia="宋体"/>
                <w:kern w:val="0"/>
                <w:sz w:val="18"/>
                <w:szCs w:val="18"/>
              </w:rPr>
              <w:t>mg/m</w:t>
            </w:r>
            <w:r>
              <w:rPr>
                <w:rFonts w:hint="eastAsia" w:ascii="Times New Roman" w:hAnsi="Times New Roman" w:eastAsia="宋体"/>
                <w:kern w:val="0"/>
                <w:sz w:val="18"/>
                <w:szCs w:val="18"/>
                <w:vertAlign w:val="superscript"/>
              </w:rPr>
              <w:t>3</w:t>
            </w:r>
          </w:p>
        </w:tc>
        <w:tc>
          <w:tcPr>
            <w:tcW w:w="798"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排放量</w:t>
            </w:r>
            <w:r>
              <w:rPr>
                <w:rFonts w:ascii="Times New Roman" w:hAnsi="Times New Roman" w:eastAsia="宋体"/>
                <w:kern w:val="0"/>
                <w:sz w:val="18"/>
                <w:szCs w:val="18"/>
              </w:rPr>
              <w:t>t/a</w:t>
            </w:r>
          </w:p>
        </w:tc>
        <w:tc>
          <w:tcPr>
            <w:tcW w:w="840"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浓度</w:t>
            </w:r>
            <w:r>
              <w:rPr>
                <w:rFonts w:ascii="Times New Roman" w:hAnsi="Times New Roman" w:eastAsia="宋体"/>
                <w:kern w:val="0"/>
                <w:sz w:val="18"/>
                <w:szCs w:val="18"/>
              </w:rPr>
              <w:t>mg/m</w:t>
            </w:r>
            <w:r>
              <w:rPr>
                <w:rFonts w:ascii="Times New Roman" w:hAnsi="Times New Roman" w:eastAsia="宋体"/>
                <w:kern w:val="0"/>
                <w:sz w:val="18"/>
                <w:szCs w:val="18"/>
                <w:vertAlign w:val="superscript"/>
              </w:rPr>
              <w:t>3</w:t>
            </w:r>
          </w:p>
        </w:tc>
        <w:tc>
          <w:tcPr>
            <w:tcW w:w="716"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排放量</w:t>
            </w:r>
            <w:r>
              <w:rPr>
                <w:rFonts w:ascii="Times New Roman" w:hAnsi="Times New Roman" w:eastAsia="宋体"/>
                <w:kern w:val="0"/>
                <w:sz w:val="18"/>
                <w:szCs w:val="18"/>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969"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变更前</w:t>
            </w:r>
          </w:p>
        </w:tc>
        <w:tc>
          <w:tcPr>
            <w:tcW w:w="969"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熔盐炉</w:t>
            </w:r>
          </w:p>
        </w:tc>
        <w:tc>
          <w:tcPr>
            <w:tcW w:w="722"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1123</w:t>
            </w:r>
          </w:p>
        </w:tc>
        <w:tc>
          <w:tcPr>
            <w:tcW w:w="1074"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21176.4</w:t>
            </w:r>
          </w:p>
        </w:tc>
        <w:tc>
          <w:tcPr>
            <w:tcW w:w="658"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30</w:t>
            </w:r>
          </w:p>
        </w:tc>
        <w:tc>
          <w:tcPr>
            <w:tcW w:w="770"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0.8</w:t>
            </w:r>
          </w:p>
        </w:tc>
        <w:tc>
          <w:tcPr>
            <w:tcW w:w="725"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200</w:t>
            </w:r>
          </w:p>
        </w:tc>
        <w:tc>
          <w:tcPr>
            <w:tcW w:w="735"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13.0</w:t>
            </w:r>
          </w:p>
        </w:tc>
        <w:tc>
          <w:tcPr>
            <w:tcW w:w="748"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2.2</w:t>
            </w:r>
          </w:p>
        </w:tc>
        <w:tc>
          <w:tcPr>
            <w:tcW w:w="807"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1.3</w:t>
            </w:r>
          </w:p>
        </w:tc>
        <w:tc>
          <w:tcPr>
            <w:tcW w:w="798"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0.</w:t>
            </w:r>
            <w:r>
              <w:rPr>
                <w:rFonts w:hint="eastAsia" w:ascii="Times New Roman" w:hAnsi="Times New Roman" w:eastAsia="宋体"/>
                <w:kern w:val="0"/>
                <w:sz w:val="18"/>
                <w:szCs w:val="18"/>
              </w:rPr>
              <w:t>22</w:t>
            </w:r>
          </w:p>
        </w:tc>
        <w:tc>
          <w:tcPr>
            <w:tcW w:w="840"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33.6</w:t>
            </w:r>
          </w:p>
        </w:tc>
        <w:tc>
          <w:tcPr>
            <w:tcW w:w="716"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969"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变更后</w:t>
            </w:r>
          </w:p>
        </w:tc>
        <w:tc>
          <w:tcPr>
            <w:tcW w:w="969"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导热油炉</w:t>
            </w:r>
          </w:p>
        </w:tc>
        <w:tc>
          <w:tcPr>
            <w:tcW w:w="722"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712.7</w:t>
            </w:r>
            <w:r>
              <w:rPr>
                <w:rFonts w:ascii="Times New Roman" w:hAnsi="Times New Roman" w:eastAsia="宋体"/>
                <w:kern w:val="0"/>
                <w:sz w:val="18"/>
                <w:szCs w:val="18"/>
              </w:rPr>
              <w:t>5</w:t>
            </w:r>
          </w:p>
        </w:tc>
        <w:tc>
          <w:tcPr>
            <w:tcW w:w="1074"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10752.26</w:t>
            </w:r>
          </w:p>
        </w:tc>
        <w:tc>
          <w:tcPr>
            <w:tcW w:w="658"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30</w:t>
            </w:r>
          </w:p>
        </w:tc>
        <w:tc>
          <w:tcPr>
            <w:tcW w:w="770"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0.8</w:t>
            </w:r>
          </w:p>
        </w:tc>
        <w:tc>
          <w:tcPr>
            <w:tcW w:w="725"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200</w:t>
            </w:r>
          </w:p>
        </w:tc>
        <w:tc>
          <w:tcPr>
            <w:tcW w:w="735"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13.0</w:t>
            </w:r>
          </w:p>
        </w:tc>
        <w:tc>
          <w:tcPr>
            <w:tcW w:w="748"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1.4</w:t>
            </w:r>
          </w:p>
        </w:tc>
        <w:tc>
          <w:tcPr>
            <w:tcW w:w="807"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1.3</w:t>
            </w:r>
          </w:p>
        </w:tc>
        <w:tc>
          <w:tcPr>
            <w:tcW w:w="798"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0.14</w:t>
            </w:r>
          </w:p>
        </w:tc>
        <w:tc>
          <w:tcPr>
            <w:tcW w:w="840"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33.6</w:t>
            </w:r>
          </w:p>
        </w:tc>
        <w:tc>
          <w:tcPr>
            <w:tcW w:w="716" w:type="dxa"/>
            <w:vAlign w:val="center"/>
          </w:tcPr>
          <w:p>
            <w:pPr>
              <w:jc w:val="center"/>
              <w:rPr>
                <w:rFonts w:ascii="Times New Roman" w:hAnsi="Times New Roman" w:eastAsia="宋体"/>
                <w:kern w:val="0"/>
                <w:sz w:val="18"/>
                <w:szCs w:val="18"/>
              </w:rPr>
            </w:pPr>
            <w:r>
              <w:rPr>
                <w:rFonts w:hint="eastAsia" w:ascii="Times New Roman" w:hAnsi="Times New Roman" w:eastAsia="宋体"/>
                <w:kern w:val="0"/>
                <w:sz w:val="18"/>
                <w:szCs w:val="18"/>
              </w:rPr>
              <w:t>3.6</w:t>
            </w:r>
          </w:p>
        </w:tc>
      </w:tr>
    </w:tbl>
    <w:p>
      <w:pPr>
        <w:pStyle w:val="33"/>
        <w:jc w:val="both"/>
        <w:rPr>
          <w:color w:val="auto"/>
        </w:rPr>
      </w:pPr>
      <w:r>
        <w:rPr>
          <w:rFonts w:hint="eastAsia"/>
          <w:color w:val="auto"/>
        </w:rPr>
        <w:t>3.8.1.</w:t>
      </w:r>
      <w:r>
        <w:rPr>
          <w:color w:val="auto"/>
        </w:rPr>
        <w:t>2</w:t>
      </w:r>
      <w:r>
        <w:rPr>
          <w:rFonts w:hint="eastAsia"/>
          <w:color w:val="auto"/>
        </w:rPr>
        <w:t xml:space="preserve"> 无组织废气</w:t>
      </w:r>
    </w:p>
    <w:p>
      <w:pPr>
        <w:spacing w:line="480" w:lineRule="exact"/>
        <w:ind w:firstLine="482" w:firstLineChars="200"/>
        <w:rPr>
          <w:rFonts w:ascii="Times New Roman" w:hAnsi="Times New Roman" w:eastAsia="宋体"/>
          <w:b/>
          <w:kern w:val="0"/>
          <w:sz w:val="24"/>
          <w:szCs w:val="24"/>
        </w:rPr>
      </w:pPr>
      <w:r>
        <w:rPr>
          <w:rFonts w:hint="eastAsia" w:ascii="Times New Roman" w:hAnsi="Times New Roman" w:eastAsia="宋体"/>
          <w:b/>
          <w:kern w:val="0"/>
          <w:sz w:val="24"/>
          <w:szCs w:val="24"/>
        </w:rPr>
        <w:t>（1</w:t>
      </w:r>
      <w:r>
        <w:rPr>
          <w:rFonts w:ascii="Times New Roman" w:hAnsi="Times New Roman" w:eastAsia="宋体"/>
          <w:b/>
          <w:kern w:val="0"/>
          <w:sz w:val="24"/>
          <w:szCs w:val="24"/>
        </w:rPr>
        <w:t>）</w:t>
      </w:r>
      <w:r>
        <w:rPr>
          <w:rFonts w:hint="eastAsia" w:ascii="Times New Roman" w:hAnsi="Times New Roman" w:eastAsia="宋体"/>
          <w:b/>
          <w:kern w:val="0"/>
          <w:sz w:val="24"/>
          <w:szCs w:val="24"/>
        </w:rPr>
        <w:t>储罐无组织排放废气</w:t>
      </w:r>
    </w:p>
    <w:p>
      <w:pPr>
        <w:spacing w:line="480" w:lineRule="exact"/>
        <w:ind w:firstLine="482" w:firstLineChars="200"/>
        <w:rPr>
          <w:rFonts w:ascii="Times New Roman" w:hAnsi="Times New Roman" w:eastAsia="宋体"/>
          <w:b/>
          <w:kern w:val="0"/>
          <w:sz w:val="24"/>
          <w:szCs w:val="24"/>
        </w:rPr>
      </w:pPr>
      <w:r>
        <w:rPr>
          <w:rFonts w:hint="eastAsia" w:ascii="Times New Roman" w:hAnsi="Times New Roman" w:eastAsia="宋体"/>
          <w:b/>
          <w:kern w:val="0"/>
          <w:sz w:val="24"/>
          <w:szCs w:val="24"/>
        </w:rPr>
        <w:t>项目变更前后，废矿物油原料类别有细微变化，处理规模不变，产品种类和数量基本不变，储罐的类型和数量与原环评要求一致，</w:t>
      </w:r>
      <w:r>
        <w:rPr>
          <w:rFonts w:ascii="Times New Roman" w:hAnsi="Times New Roman" w:eastAsia="宋体"/>
          <w:b/>
          <w:kern w:val="0"/>
          <w:sz w:val="24"/>
          <w:szCs w:val="24"/>
        </w:rPr>
        <w:t>故</w:t>
      </w:r>
      <w:r>
        <w:rPr>
          <w:rFonts w:hint="eastAsia" w:ascii="Times New Roman" w:hAnsi="Times New Roman" w:eastAsia="宋体"/>
          <w:b/>
          <w:kern w:val="0"/>
          <w:sz w:val="24"/>
          <w:szCs w:val="24"/>
        </w:rPr>
        <w:t>储罐无组织排放废气源强基本不变。</w:t>
      </w:r>
    </w:p>
    <w:p>
      <w:pPr>
        <w:spacing w:line="480" w:lineRule="exact"/>
        <w:ind w:firstLine="482" w:firstLineChars="200"/>
        <w:rPr>
          <w:rFonts w:ascii="Times New Roman" w:hAnsi="Times New Roman" w:eastAsia="宋体"/>
          <w:b/>
          <w:kern w:val="0"/>
          <w:sz w:val="24"/>
          <w:szCs w:val="24"/>
        </w:rPr>
      </w:pPr>
      <w:r>
        <w:rPr>
          <w:rFonts w:hint="eastAsia" w:ascii="Times New Roman" w:hAnsi="Times New Roman" w:eastAsia="宋体"/>
          <w:b/>
          <w:sz w:val="24"/>
          <w:szCs w:val="24"/>
        </w:rPr>
        <w:t>变更前，丙烷和糠醛均为中间储罐，大小呼吸均用管道连接至生产装置中，挥发量很小，因此暂不考虑其大小呼吸。变更后，工艺中</w:t>
      </w:r>
      <w:r>
        <w:rPr>
          <w:rFonts w:ascii="Times New Roman" w:hAnsi="Times New Roman" w:eastAsia="宋体"/>
          <w:b/>
          <w:sz w:val="24"/>
          <w:szCs w:val="24"/>
        </w:rPr>
        <w:t>去掉了</w:t>
      </w:r>
      <w:r>
        <w:rPr>
          <w:rFonts w:hint="eastAsia" w:ascii="Times New Roman" w:hAnsi="Times New Roman" w:eastAsia="宋体"/>
          <w:b/>
          <w:sz w:val="24"/>
          <w:szCs w:val="24"/>
        </w:rPr>
        <w:t>糠醛精制工序，工艺中无需使用糠醛，</w:t>
      </w:r>
      <w:r>
        <w:rPr>
          <w:rFonts w:ascii="Times New Roman" w:hAnsi="Times New Roman" w:eastAsia="宋体"/>
          <w:b/>
          <w:sz w:val="24"/>
          <w:szCs w:val="24"/>
        </w:rPr>
        <w:t>减少</w:t>
      </w:r>
      <w:r>
        <w:rPr>
          <w:rFonts w:hint="eastAsia" w:ascii="Times New Roman" w:hAnsi="Times New Roman" w:eastAsia="宋体"/>
          <w:b/>
          <w:sz w:val="24"/>
          <w:szCs w:val="24"/>
        </w:rPr>
        <w:t>了非甲烷总烃的挥发。</w:t>
      </w:r>
    </w:p>
    <w:p>
      <w:pPr>
        <w:spacing w:line="480" w:lineRule="exact"/>
        <w:ind w:firstLine="468" w:firstLineChars="200"/>
        <w:rPr>
          <w:rFonts w:ascii="Times New Roman" w:hAnsi="Times New Roman" w:eastAsia="宋体"/>
          <w:b/>
          <w:kern w:val="0"/>
          <w:sz w:val="24"/>
          <w:szCs w:val="24"/>
        </w:rPr>
      </w:pPr>
      <w:r>
        <w:rPr>
          <w:rFonts w:ascii="Times New Roman" w:hAnsi="Times New Roman" w:eastAsia="宋体"/>
          <w:spacing w:val="-3"/>
          <w:sz w:val="24"/>
          <w:szCs w:val="24"/>
        </w:rPr>
        <w:t>本项目贮存物料中，废矿物油、基础油等均采用拱顶罐，</w:t>
      </w:r>
      <w:r>
        <w:rPr>
          <w:rFonts w:hint="eastAsia" w:ascii="Times New Roman" w:hAnsi="Times New Roman" w:eastAsia="宋体"/>
          <w:spacing w:val="-3"/>
          <w:sz w:val="24"/>
          <w:szCs w:val="24"/>
        </w:rPr>
        <w:t>汽油罐、柴油罐和</w:t>
      </w:r>
      <w:r>
        <w:rPr>
          <w:rFonts w:ascii="Times New Roman" w:hAnsi="Times New Roman" w:eastAsia="宋体"/>
          <w:spacing w:val="-3"/>
          <w:sz w:val="24"/>
          <w:szCs w:val="24"/>
        </w:rPr>
        <w:t>燃料油罐</w:t>
      </w:r>
      <w:r>
        <w:rPr>
          <w:rFonts w:hint="eastAsia" w:ascii="Times New Roman" w:hAnsi="Times New Roman" w:eastAsia="宋体"/>
          <w:spacing w:val="-3"/>
          <w:sz w:val="24"/>
          <w:szCs w:val="24"/>
        </w:rPr>
        <w:t>等</w:t>
      </w:r>
      <w:r>
        <w:rPr>
          <w:rFonts w:ascii="Times New Roman" w:hAnsi="Times New Roman" w:eastAsia="宋体"/>
          <w:spacing w:val="-3"/>
          <w:sz w:val="24"/>
          <w:szCs w:val="24"/>
        </w:rPr>
        <w:t>采用浮顶</w:t>
      </w:r>
      <w:r>
        <w:rPr>
          <w:rFonts w:ascii="Times New Roman" w:hAnsi="Times New Roman" w:eastAsia="宋体"/>
          <w:sz w:val="24"/>
          <w:szCs w:val="24"/>
        </w:rPr>
        <w:t>罐。</w:t>
      </w:r>
    </w:p>
    <w:p>
      <w:pPr>
        <w:spacing w:line="480" w:lineRule="exact"/>
        <w:ind w:firstLine="468" w:firstLineChars="200"/>
        <w:rPr>
          <w:rFonts w:ascii="Times New Roman" w:hAnsi="Times New Roman" w:eastAsia="宋体"/>
          <w:spacing w:val="-3"/>
          <w:sz w:val="24"/>
          <w:szCs w:val="24"/>
        </w:rPr>
      </w:pPr>
      <w:r>
        <w:rPr>
          <w:rFonts w:ascii="Times New Roman" w:hAnsi="Times New Roman" w:eastAsia="宋体"/>
          <w:spacing w:val="-3"/>
          <w:sz w:val="24"/>
          <w:szCs w:val="24"/>
        </w:rPr>
        <w:t>储罐呼吸废气包括装卸过程的蒸发损耗（大呼吸）和储罐贮存时的蒸发损耗（小呼吸），主要成分为烃类，以非甲烷总烃计算。</w:t>
      </w:r>
    </w:p>
    <w:p>
      <w:pPr>
        <w:spacing w:line="480" w:lineRule="exact"/>
        <w:ind w:firstLine="468" w:firstLineChars="200"/>
        <w:rPr>
          <w:rFonts w:ascii="Times New Roman" w:hAnsi="Times New Roman" w:eastAsia="宋体"/>
          <w:spacing w:val="-3"/>
          <w:sz w:val="24"/>
          <w:szCs w:val="24"/>
        </w:rPr>
      </w:pPr>
      <w:r>
        <w:rPr>
          <w:rFonts w:ascii="Times New Roman" w:hAnsi="Times New Roman" w:eastAsia="宋体"/>
          <w:spacing w:val="-3"/>
          <w:sz w:val="24"/>
          <w:szCs w:val="24"/>
        </w:rPr>
        <w:t>A、</w:t>
      </w:r>
      <w:r>
        <w:rPr>
          <w:rFonts w:hint="eastAsia" w:ascii="Times New Roman" w:hAnsi="Times New Roman" w:eastAsia="宋体"/>
          <w:spacing w:val="-3"/>
          <w:sz w:val="24"/>
          <w:szCs w:val="24"/>
        </w:rPr>
        <w:t>“</w:t>
      </w:r>
      <w:r>
        <w:rPr>
          <w:rFonts w:ascii="Times New Roman" w:hAnsi="Times New Roman" w:eastAsia="宋体"/>
          <w:spacing w:val="-3"/>
          <w:sz w:val="24"/>
          <w:szCs w:val="24"/>
        </w:rPr>
        <w:t>大呼吸</w:t>
      </w:r>
      <w:r>
        <w:rPr>
          <w:rFonts w:hint="eastAsia" w:ascii="Times New Roman" w:hAnsi="Times New Roman" w:eastAsia="宋体"/>
          <w:spacing w:val="-3"/>
          <w:sz w:val="24"/>
          <w:szCs w:val="24"/>
        </w:rPr>
        <w:t>”</w:t>
      </w:r>
      <w:r>
        <w:rPr>
          <w:rFonts w:ascii="Times New Roman" w:hAnsi="Times New Roman" w:eastAsia="宋体"/>
          <w:spacing w:val="-3"/>
          <w:sz w:val="24"/>
          <w:szCs w:val="24"/>
        </w:rPr>
        <w:t>损耗的气载污染物数量</w:t>
      </w:r>
    </w:p>
    <w:p>
      <w:pPr>
        <w:spacing w:line="480" w:lineRule="exact"/>
        <w:ind w:firstLine="468" w:firstLineChars="200"/>
        <w:rPr>
          <w:rFonts w:ascii="Times New Roman" w:hAnsi="Times New Roman" w:eastAsia="宋体"/>
          <w:spacing w:val="-3"/>
          <w:sz w:val="24"/>
          <w:szCs w:val="24"/>
        </w:rPr>
      </w:pPr>
      <w:r>
        <w:rPr>
          <w:rFonts w:ascii="Times New Roman" w:hAnsi="Times New Roman" w:eastAsia="宋体"/>
          <w:spacing w:val="-3"/>
          <w:sz w:val="24"/>
          <w:szCs w:val="24"/>
        </w:rPr>
        <w:t>在油罐进行收发作业过程中，当油罐进油时，由于罐内液体体积增加，罐内气体压力增加，当压力增至机械呼吸阀压力极限时，呼吸阀自动开启排气。当从油罐输出油料时，罐内液体体积减少，罐内气体压力降低，当压力降至呼吸阀负压极限时，吸进空气。这种由于输转油料致使油罐排出油蒸气和吸入空气所导致的损失叫“大呼吸”损失。</w:t>
      </w:r>
    </w:p>
    <w:p>
      <w:pPr>
        <w:spacing w:line="480" w:lineRule="exact"/>
        <w:ind w:firstLine="468" w:firstLineChars="200"/>
        <w:rPr>
          <w:rFonts w:ascii="Times New Roman" w:hAnsi="Times New Roman" w:eastAsia="宋体"/>
          <w:spacing w:val="-3"/>
          <w:sz w:val="24"/>
          <w:szCs w:val="24"/>
        </w:rPr>
      </w:pPr>
      <w:r>
        <w:rPr>
          <w:rFonts w:ascii="Times New Roman" w:hAnsi="Times New Roman" w:eastAsia="宋体"/>
          <w:spacing w:val="-3"/>
          <w:sz w:val="24"/>
          <w:szCs w:val="24"/>
        </w:rPr>
        <w:t>固定顶储罐大呼吸损耗量可按下列公式计算：</w:t>
      </w:r>
    </w:p>
    <w:p>
      <w:pPr>
        <w:pStyle w:val="7"/>
        <w:spacing w:line="480" w:lineRule="exact"/>
        <w:jc w:val="center"/>
        <w:rPr>
          <w:rFonts w:ascii="Times New Roman" w:hAnsi="Times New Roman"/>
        </w:rPr>
      </w:pPr>
      <w:r>
        <w:rPr>
          <w:rFonts w:ascii="Times New Roman" w:hAnsi="Times New Roman"/>
          <w:position w:val="2"/>
        </w:rPr>
        <w:t>Lw=4.188×10</w:t>
      </w:r>
      <w:r>
        <w:rPr>
          <w:rFonts w:ascii="Times New Roman" w:hAnsi="Times New Roman"/>
          <w:position w:val="10"/>
          <w:sz w:val="15"/>
        </w:rPr>
        <w:t>-7</w:t>
      </w:r>
      <w:r>
        <w:rPr>
          <w:rFonts w:ascii="Times New Roman" w:hAnsi="Times New Roman"/>
          <w:position w:val="2"/>
        </w:rPr>
        <w:t>×M×P×K</w:t>
      </w:r>
      <w:r>
        <w:rPr>
          <w:rFonts w:ascii="Times New Roman" w:hAnsi="Times New Roman"/>
          <w:sz w:val="15"/>
        </w:rPr>
        <w:t>N</w:t>
      </w:r>
      <w:r>
        <w:rPr>
          <w:rFonts w:ascii="Times New Roman" w:hAnsi="Times New Roman"/>
          <w:position w:val="2"/>
        </w:rPr>
        <w:t>×Kc</w:t>
      </w:r>
    </w:p>
    <w:p>
      <w:pPr>
        <w:spacing w:line="480" w:lineRule="exact"/>
        <w:rPr>
          <w:rFonts w:ascii="Times New Roman" w:hAnsi="Times New Roman" w:eastAsia="宋体"/>
          <w:spacing w:val="-3"/>
          <w:sz w:val="24"/>
          <w:szCs w:val="24"/>
        </w:rPr>
      </w:pPr>
      <w:r>
        <w:rPr>
          <w:rFonts w:ascii="Times New Roman" w:hAnsi="Times New Roman" w:eastAsia="宋体"/>
          <w:spacing w:val="-3"/>
          <w:sz w:val="24"/>
          <w:szCs w:val="24"/>
        </w:rPr>
        <w:t>式中：</w:t>
      </w:r>
    </w:p>
    <w:p>
      <w:pPr>
        <w:pStyle w:val="7"/>
        <w:spacing w:line="480" w:lineRule="exact"/>
        <w:ind w:firstLine="480" w:firstLineChars="200"/>
        <w:jc w:val="both"/>
        <w:rPr>
          <w:rFonts w:ascii="Times New Roman" w:hAnsi="Times New Roman"/>
          <w:lang w:eastAsia="zh-CN"/>
        </w:rPr>
      </w:pPr>
      <w:r>
        <w:rPr>
          <w:rFonts w:ascii="Times New Roman" w:hAnsi="Times New Roman" w:eastAsia="Times New Roman"/>
          <w:lang w:eastAsia="zh-CN"/>
        </w:rPr>
        <w:t>Lw—</w:t>
      </w:r>
      <w:r>
        <w:rPr>
          <w:rFonts w:ascii="Times New Roman" w:hAnsi="Times New Roman"/>
          <w:lang w:eastAsia="zh-CN"/>
        </w:rPr>
        <w:t>储罐工作损失（</w:t>
      </w:r>
      <w:r>
        <w:rPr>
          <w:rFonts w:ascii="Times New Roman" w:hAnsi="Times New Roman" w:eastAsia="Times New Roman"/>
          <w:lang w:eastAsia="zh-CN"/>
        </w:rPr>
        <w:t>kg/m³</w:t>
      </w:r>
      <w:r>
        <w:rPr>
          <w:rFonts w:ascii="Times New Roman" w:hAnsi="Times New Roman"/>
          <w:lang w:eastAsia="zh-CN"/>
        </w:rPr>
        <w:t>投入量）；</w:t>
      </w:r>
    </w:p>
    <w:p>
      <w:pPr>
        <w:pStyle w:val="7"/>
        <w:spacing w:line="480" w:lineRule="exact"/>
        <w:ind w:firstLine="480" w:firstLineChars="200"/>
        <w:jc w:val="both"/>
        <w:rPr>
          <w:rFonts w:ascii="Times New Roman" w:hAnsi="Times New Roman"/>
          <w:lang w:eastAsia="zh-CN"/>
        </w:rPr>
      </w:pPr>
      <w:r>
        <w:rPr>
          <w:rFonts w:ascii="Times New Roman" w:hAnsi="Times New Roman" w:eastAsia="Times New Roman"/>
          <w:lang w:eastAsia="zh-CN"/>
        </w:rPr>
        <w:t>M—</w:t>
      </w:r>
      <w:r>
        <w:rPr>
          <w:rFonts w:ascii="Times New Roman" w:hAnsi="Times New Roman"/>
          <w:lang w:eastAsia="zh-CN"/>
        </w:rPr>
        <w:t>储罐内</w:t>
      </w:r>
      <w:r>
        <w:rPr>
          <w:rFonts w:hint="eastAsia" w:ascii="Times New Roman" w:hAnsi="Times New Roman"/>
          <w:lang w:eastAsia="zh-CN"/>
        </w:rPr>
        <w:t>蒸气</w:t>
      </w:r>
      <w:r>
        <w:rPr>
          <w:rFonts w:ascii="Times New Roman" w:hAnsi="Times New Roman"/>
          <w:lang w:eastAsia="zh-CN"/>
        </w:rPr>
        <w:t>的分子量</w:t>
      </w:r>
      <w:r>
        <w:rPr>
          <w:rFonts w:hint="eastAsia" w:ascii="Times New Roman" w:hAnsi="Times New Roman"/>
          <w:lang w:eastAsia="zh-CN"/>
        </w:rPr>
        <w:t>；</w:t>
      </w:r>
    </w:p>
    <w:p>
      <w:pPr>
        <w:pStyle w:val="7"/>
        <w:spacing w:line="480" w:lineRule="exact"/>
        <w:ind w:firstLine="480" w:firstLineChars="200"/>
        <w:jc w:val="both"/>
        <w:rPr>
          <w:rFonts w:ascii="Times New Roman" w:hAnsi="Times New Roman"/>
          <w:lang w:eastAsia="zh-CN"/>
        </w:rPr>
      </w:pPr>
      <w:r>
        <w:rPr>
          <w:rFonts w:ascii="Times New Roman" w:hAnsi="Times New Roman" w:eastAsia="Times New Roman"/>
          <w:lang w:eastAsia="zh-CN"/>
        </w:rPr>
        <w:t>P—</w:t>
      </w:r>
      <w:r>
        <w:rPr>
          <w:rFonts w:ascii="Times New Roman" w:hAnsi="Times New Roman"/>
          <w:lang w:eastAsia="zh-CN"/>
        </w:rPr>
        <w:t>在大量液体状态下，真实的蒸气压力（</w:t>
      </w:r>
      <w:r>
        <w:rPr>
          <w:rFonts w:ascii="Times New Roman" w:hAnsi="Times New Roman" w:eastAsia="Times New Roman"/>
          <w:lang w:eastAsia="zh-CN"/>
        </w:rPr>
        <w:t>Pa</w:t>
      </w:r>
      <w:r>
        <w:rPr>
          <w:rFonts w:ascii="Times New Roman" w:hAnsi="Times New Roman"/>
          <w:lang w:eastAsia="zh-CN"/>
        </w:rPr>
        <w:t>）；</w:t>
      </w:r>
    </w:p>
    <w:p>
      <w:pPr>
        <w:pStyle w:val="7"/>
        <w:spacing w:line="480" w:lineRule="exact"/>
        <w:ind w:firstLine="480" w:firstLineChars="200"/>
        <w:jc w:val="both"/>
        <w:rPr>
          <w:rFonts w:ascii="Times New Roman" w:hAnsi="Times New Roman"/>
          <w:lang w:eastAsia="zh-CN"/>
        </w:rPr>
      </w:pPr>
      <w:r>
        <w:rPr>
          <w:rFonts w:ascii="Times New Roman" w:hAnsi="Times New Roman" w:eastAsia="Times New Roman"/>
          <w:position w:val="2"/>
          <w:lang w:eastAsia="zh-CN"/>
        </w:rPr>
        <w:t>K</w:t>
      </w:r>
      <w:r>
        <w:rPr>
          <w:rFonts w:ascii="Times New Roman" w:hAnsi="Times New Roman" w:eastAsia="Times New Roman"/>
          <w:sz w:val="15"/>
          <w:lang w:eastAsia="zh-CN"/>
        </w:rPr>
        <w:t>N</w:t>
      </w:r>
      <w:r>
        <w:rPr>
          <w:rFonts w:ascii="Times New Roman" w:hAnsi="Times New Roman" w:eastAsia="Times New Roman"/>
          <w:position w:val="2"/>
          <w:lang w:eastAsia="zh-CN"/>
        </w:rPr>
        <w:t>—</w:t>
      </w:r>
      <w:r>
        <w:rPr>
          <w:rFonts w:ascii="Times New Roman" w:hAnsi="Times New Roman"/>
          <w:position w:val="2"/>
          <w:lang w:eastAsia="zh-CN"/>
        </w:rPr>
        <w:t>周转因子（无量纲），取值按年周转次数（</w:t>
      </w:r>
      <w:r>
        <w:rPr>
          <w:rFonts w:ascii="Times New Roman" w:hAnsi="Times New Roman" w:eastAsia="Times New Roman"/>
          <w:position w:val="2"/>
          <w:lang w:eastAsia="zh-CN"/>
        </w:rPr>
        <w:t>K</w:t>
      </w:r>
      <w:r>
        <w:rPr>
          <w:rFonts w:ascii="Times New Roman" w:hAnsi="Times New Roman"/>
          <w:position w:val="2"/>
          <w:lang w:eastAsia="zh-CN"/>
        </w:rPr>
        <w:t>）确定，</w:t>
      </w:r>
      <w:r>
        <w:rPr>
          <w:rFonts w:ascii="Times New Roman" w:hAnsi="Times New Roman" w:eastAsia="Times New Roman"/>
          <w:position w:val="2"/>
          <w:lang w:eastAsia="zh-CN"/>
        </w:rPr>
        <w:t>K≤36</w:t>
      </w:r>
      <w:r>
        <w:rPr>
          <w:rFonts w:ascii="Times New Roman" w:hAnsi="Times New Roman"/>
          <w:position w:val="2"/>
          <w:lang w:eastAsia="zh-CN"/>
        </w:rPr>
        <w:t>，</w:t>
      </w:r>
      <w:r>
        <w:rPr>
          <w:rFonts w:ascii="Times New Roman" w:hAnsi="Times New Roman" w:eastAsia="Times New Roman"/>
          <w:position w:val="2"/>
          <w:lang w:eastAsia="zh-CN"/>
        </w:rPr>
        <w:t>K</w:t>
      </w:r>
      <w:r>
        <w:rPr>
          <w:rFonts w:ascii="Times New Roman" w:hAnsi="Times New Roman" w:eastAsia="Times New Roman"/>
          <w:sz w:val="15"/>
          <w:lang w:eastAsia="zh-CN"/>
        </w:rPr>
        <w:t>N</w:t>
      </w:r>
      <w:r>
        <w:rPr>
          <w:rFonts w:ascii="Times New Roman" w:hAnsi="Times New Roman" w:eastAsia="Times New Roman"/>
          <w:position w:val="2"/>
          <w:lang w:eastAsia="zh-CN"/>
        </w:rPr>
        <w:t>=1</w:t>
      </w:r>
      <w:r>
        <w:rPr>
          <w:rFonts w:ascii="Times New Roman" w:hAnsi="Times New Roman"/>
          <w:position w:val="2"/>
          <w:lang w:eastAsia="zh-CN"/>
        </w:rPr>
        <w:t>；</w:t>
      </w:r>
      <w:r>
        <w:rPr>
          <w:rFonts w:ascii="Times New Roman" w:hAnsi="Times New Roman" w:eastAsia="Times New Roman"/>
          <w:lang w:eastAsia="zh-CN"/>
        </w:rPr>
        <w:t>36&lt;K≤220</w:t>
      </w:r>
      <w:r>
        <w:rPr>
          <w:rFonts w:ascii="Times New Roman" w:hAnsi="Times New Roman"/>
          <w:lang w:eastAsia="zh-CN"/>
        </w:rPr>
        <w:t>，</w:t>
      </w:r>
      <w:r>
        <w:rPr>
          <w:rFonts w:ascii="Times New Roman" w:hAnsi="Times New Roman" w:eastAsia="Times New Roman"/>
          <w:lang w:eastAsia="zh-CN"/>
        </w:rPr>
        <w:t>K</w:t>
      </w:r>
      <w:r>
        <w:rPr>
          <w:rFonts w:ascii="Times New Roman" w:hAnsi="Times New Roman" w:eastAsia="Times New Roman"/>
          <w:vertAlign w:val="subscript"/>
          <w:lang w:eastAsia="zh-CN"/>
        </w:rPr>
        <w:t>N</w:t>
      </w:r>
      <w:r>
        <w:rPr>
          <w:rFonts w:ascii="Times New Roman" w:hAnsi="Times New Roman" w:eastAsia="Times New Roman"/>
          <w:lang w:eastAsia="zh-CN"/>
        </w:rPr>
        <w:t>=11.467×K</w:t>
      </w:r>
      <w:r>
        <w:rPr>
          <w:rFonts w:ascii="Times New Roman" w:hAnsi="Times New Roman" w:eastAsia="Times New Roman"/>
          <w:vertAlign w:val="superscript"/>
          <w:lang w:eastAsia="zh-CN"/>
        </w:rPr>
        <w:t>-0.7026</w:t>
      </w:r>
      <w:r>
        <w:rPr>
          <w:rFonts w:ascii="Times New Roman" w:hAnsi="Times New Roman"/>
          <w:lang w:eastAsia="zh-CN"/>
        </w:rPr>
        <w:t>；</w:t>
      </w:r>
      <w:r>
        <w:rPr>
          <w:rFonts w:ascii="Times New Roman" w:hAnsi="Times New Roman" w:eastAsia="Times New Roman"/>
          <w:lang w:eastAsia="zh-CN"/>
        </w:rPr>
        <w:t>K&gt;220</w:t>
      </w:r>
      <w:r>
        <w:rPr>
          <w:rFonts w:ascii="Times New Roman" w:hAnsi="Times New Roman"/>
          <w:lang w:eastAsia="zh-CN"/>
        </w:rPr>
        <w:t>，</w:t>
      </w:r>
      <w:r>
        <w:rPr>
          <w:rFonts w:ascii="Times New Roman" w:hAnsi="Times New Roman" w:eastAsia="Times New Roman"/>
          <w:lang w:eastAsia="zh-CN"/>
        </w:rPr>
        <w:t>K</w:t>
      </w:r>
      <w:r>
        <w:rPr>
          <w:rFonts w:ascii="Times New Roman" w:hAnsi="Times New Roman" w:eastAsia="Times New Roman"/>
          <w:vertAlign w:val="subscript"/>
          <w:lang w:eastAsia="zh-CN"/>
        </w:rPr>
        <w:t>N</w:t>
      </w:r>
      <w:r>
        <w:rPr>
          <w:rFonts w:ascii="Times New Roman" w:hAnsi="Times New Roman" w:eastAsia="Times New Roman"/>
          <w:lang w:eastAsia="zh-CN"/>
        </w:rPr>
        <w:t>=0.26</w:t>
      </w:r>
      <w:r>
        <w:rPr>
          <w:rFonts w:ascii="Times New Roman" w:hAnsi="Times New Roman"/>
          <w:lang w:eastAsia="zh-CN"/>
        </w:rPr>
        <w:t>；</w:t>
      </w:r>
    </w:p>
    <w:p>
      <w:pPr>
        <w:pStyle w:val="7"/>
        <w:spacing w:line="480" w:lineRule="exact"/>
        <w:ind w:firstLine="480" w:firstLineChars="200"/>
        <w:jc w:val="both"/>
        <w:rPr>
          <w:rFonts w:ascii="Times New Roman" w:hAnsi="Times New Roman"/>
          <w:lang w:eastAsia="zh-CN"/>
        </w:rPr>
      </w:pPr>
      <w:r>
        <w:rPr>
          <w:rFonts w:ascii="Times New Roman" w:hAnsi="Times New Roman"/>
          <w:lang w:eastAsia="zh-CN"/>
        </w:rPr>
        <w:t>Kc—产品因子（石油原油Kc取</w:t>
      </w:r>
      <w:r>
        <w:rPr>
          <w:rFonts w:ascii="Times New Roman" w:hAnsi="Times New Roman" w:eastAsia="Times New Roman"/>
          <w:spacing w:val="-8"/>
          <w:lang w:eastAsia="zh-CN"/>
        </w:rPr>
        <w:t>0.65</w:t>
      </w:r>
      <w:r>
        <w:rPr>
          <w:rFonts w:hint="eastAsia" w:ascii="Times New Roman" w:hAnsi="Times New Roman"/>
          <w:spacing w:val="-8"/>
          <w:lang w:eastAsia="zh-CN"/>
        </w:rPr>
        <w:t>，</w:t>
      </w:r>
      <w:r>
        <w:rPr>
          <w:rFonts w:ascii="Times New Roman" w:hAnsi="Times New Roman"/>
          <w:spacing w:val="-8"/>
          <w:lang w:eastAsia="zh-CN"/>
        </w:rPr>
        <w:t>其他的有机液体取</w:t>
      </w:r>
      <w:r>
        <w:rPr>
          <w:rFonts w:ascii="Times New Roman" w:hAnsi="Times New Roman" w:eastAsia="Times New Roman"/>
          <w:spacing w:val="-12"/>
          <w:lang w:eastAsia="zh-CN"/>
        </w:rPr>
        <w:t>1.0</w:t>
      </w:r>
      <w:r>
        <w:rPr>
          <w:rFonts w:hint="eastAsia" w:ascii="Times New Roman" w:hAnsi="Times New Roman"/>
          <w:spacing w:val="-12"/>
          <w:lang w:eastAsia="zh-CN"/>
        </w:rPr>
        <w:t>，</w:t>
      </w:r>
      <w:r>
        <w:rPr>
          <w:rFonts w:ascii="Times New Roman" w:hAnsi="Times New Roman"/>
          <w:spacing w:val="-12"/>
          <w:lang w:eastAsia="zh-CN"/>
        </w:rPr>
        <w:t>本项目取</w:t>
      </w:r>
      <w:r>
        <w:rPr>
          <w:rFonts w:ascii="Times New Roman" w:hAnsi="Times New Roman" w:eastAsia="Times New Roman"/>
          <w:spacing w:val="-24"/>
          <w:lang w:eastAsia="zh-CN"/>
        </w:rPr>
        <w:t>1.0</w:t>
      </w:r>
      <w:r>
        <w:rPr>
          <w:rFonts w:ascii="Times New Roman" w:hAnsi="Times New Roman"/>
          <w:spacing w:val="-24"/>
          <w:lang w:eastAsia="zh-CN"/>
        </w:rPr>
        <w:t>）。</w:t>
      </w:r>
    </w:p>
    <w:p>
      <w:pPr>
        <w:pStyle w:val="7"/>
        <w:spacing w:line="480" w:lineRule="exact"/>
        <w:ind w:right="18" w:firstLine="480" w:firstLineChars="200"/>
        <w:jc w:val="both"/>
        <w:rPr>
          <w:rFonts w:ascii="Times New Roman" w:hAnsi="Times New Roman"/>
          <w:lang w:eastAsia="zh-CN"/>
        </w:rPr>
      </w:pPr>
      <w:r>
        <w:rPr>
          <w:rFonts w:ascii="Times New Roman" w:hAnsi="Times New Roman"/>
          <w:lang w:eastAsia="zh-CN"/>
        </w:rPr>
        <w:t>内浮顶大呼吸蒸发损耗计算公式采用采用美国石油学会</w:t>
      </w:r>
      <w:r>
        <w:rPr>
          <w:rFonts w:ascii="Times New Roman" w:hAnsi="Times New Roman" w:eastAsia="Times New Roman"/>
          <w:lang w:eastAsia="zh-CN"/>
        </w:rPr>
        <w:t>(API)</w:t>
      </w:r>
      <w:r>
        <w:rPr>
          <w:rFonts w:ascii="Times New Roman" w:hAnsi="Times New Roman"/>
          <w:lang w:eastAsia="zh-CN"/>
        </w:rPr>
        <w:t>公布适用于内浮顶油罐大呼吸的公式：</w:t>
      </w:r>
    </w:p>
    <w:p>
      <w:pPr>
        <w:pStyle w:val="7"/>
        <w:spacing w:line="720" w:lineRule="auto"/>
        <w:ind w:right="108" w:firstLine="600" w:firstLineChars="250"/>
        <w:jc w:val="both"/>
        <w:rPr>
          <w:rFonts w:ascii="Times New Roman" w:hAnsi="Times New Roman" w:cs="Times New Roman"/>
          <w:lang w:eastAsia="zh-CN"/>
        </w:rPr>
      </w:pPr>
      <m:oMathPara>
        <m:oMath>
          <m:r>
            <m:rPr>
              <m:sty m:val="p"/>
            </m:rPr>
            <w:rPr>
              <w:rFonts w:ascii="Cambria Math" w:hAnsi="Cambria Math" w:cs="Times New Roman"/>
            </w:rPr>
            <m:t>w=1.37×</m:t>
          </m:r>
          <m:sSup>
            <m:sSupPr>
              <m:ctrlPr>
                <w:rPr>
                  <w:rFonts w:ascii="Cambria Math" w:hAnsi="Cambria Math" w:cs="Times New Roman"/>
                </w:rPr>
              </m:ctrlPr>
            </m:sSupPr>
            <m:e>
              <m:r>
                <w:rPr>
                  <w:rFonts w:ascii="Cambria Math" w:hAnsi="Cambria Math" w:cs="Times New Roman"/>
                </w:rPr>
                <m:t>10</m:t>
              </m:r>
              <m:ctrlPr>
                <w:rPr>
                  <w:rFonts w:ascii="Cambria Math" w:hAnsi="Cambria Math" w:cs="Times New Roman"/>
                </w:rPr>
              </m:ctrlPr>
            </m:e>
            <m:sup>
              <m:r>
                <w:rPr>
                  <w:rFonts w:ascii="Cambria Math" w:hAnsi="Cambria Math" w:cs="Times New Roman"/>
                </w:rPr>
                <m:t>-4</m:t>
              </m:r>
              <m:ctrlPr>
                <w:rPr>
                  <w:rFonts w:ascii="Cambria Math" w:hAnsi="Cambria Math" w:cs="Times New Roman"/>
                </w:rPr>
              </m:ctrlPr>
            </m:sup>
          </m:sSup>
          <m:f>
            <m:fPr>
              <m:ctrlPr>
                <w:rPr>
                  <w:rFonts w:ascii="Cambria Math" w:hAnsi="Cambria Math" w:cs="Times New Roman"/>
                  <w:i/>
                </w:rPr>
              </m:ctrlPr>
            </m:fPr>
            <m:num>
              <m:r>
                <w:rPr>
                  <w:rFonts w:ascii="Cambria Math" w:hAnsi="Cambria Math" w:cs="Times New Roman"/>
                </w:rPr>
                <m:t>V</m:t>
              </m:r>
              <m:ctrlPr>
                <w:rPr>
                  <w:rFonts w:ascii="Cambria Math" w:hAnsi="Cambria Math" w:cs="Times New Roman"/>
                  <w:i/>
                </w:rPr>
              </m:ctrlPr>
            </m:num>
            <m:den>
              <m:r>
                <w:rPr>
                  <w:rFonts w:ascii="Cambria Math" w:hAnsi="Cambria Math" w:cs="Times New Roman"/>
                </w:rPr>
                <m:t>D</m:t>
              </m:r>
              <m:ctrlPr>
                <w:rPr>
                  <w:rFonts w:ascii="Cambria Math" w:hAnsi="Cambria Math" w:cs="Times New Roman"/>
                  <w:i/>
                </w:rPr>
              </m:ctrlPr>
            </m:den>
          </m:f>
        </m:oMath>
      </m:oMathPara>
    </w:p>
    <w:p>
      <w:pPr>
        <w:spacing w:line="480" w:lineRule="exact"/>
        <w:rPr>
          <w:rFonts w:ascii="Times New Roman" w:hAnsi="Times New Roman" w:eastAsia="宋体"/>
          <w:spacing w:val="-3"/>
          <w:sz w:val="24"/>
          <w:szCs w:val="24"/>
        </w:rPr>
      </w:pPr>
      <w:r>
        <w:rPr>
          <w:rFonts w:ascii="Times New Roman" w:hAnsi="Times New Roman" w:eastAsia="宋体"/>
          <w:spacing w:val="-3"/>
          <w:sz w:val="24"/>
          <w:szCs w:val="24"/>
        </w:rPr>
        <w:t>式中：</w:t>
      </w:r>
    </w:p>
    <w:p>
      <w:pPr>
        <w:pStyle w:val="7"/>
        <w:spacing w:before="26" w:line="338" w:lineRule="auto"/>
        <w:ind w:right="3486" w:firstLine="600" w:firstLineChars="250"/>
        <w:rPr>
          <w:rFonts w:ascii="Times New Roman" w:hAnsi="Times New Roman" w:cs="Times New Roman"/>
          <w:lang w:eastAsia="zh-CN"/>
        </w:rPr>
      </w:pPr>
      <w:r>
        <w:rPr>
          <w:rFonts w:ascii="Times New Roman" w:hAnsi="Times New Roman" w:cs="Times New Roman"/>
          <w:lang w:eastAsia="zh-CN"/>
        </w:rPr>
        <w:t>W—浮顶油罐的泵送年损耗量，t/a；</w:t>
      </w:r>
    </w:p>
    <w:p>
      <w:pPr>
        <w:pStyle w:val="7"/>
        <w:spacing w:before="26" w:line="338" w:lineRule="auto"/>
        <w:ind w:right="3486" w:firstLine="600" w:firstLineChars="250"/>
        <w:rPr>
          <w:rFonts w:ascii="Times New Roman" w:hAnsi="Times New Roman" w:cs="Times New Roman"/>
          <w:lang w:eastAsia="zh-CN"/>
        </w:rPr>
      </w:pPr>
      <w:r>
        <w:rPr>
          <w:rFonts w:ascii="Times New Roman" w:hAnsi="Times New Roman" w:cs="Times New Roman"/>
          <w:lang w:eastAsia="zh-CN"/>
        </w:rPr>
        <w:t>V—油品泵送入罐量，t/a</w:t>
      </w:r>
      <w:r>
        <w:rPr>
          <w:rFonts w:hint="eastAsia" w:ascii="Times New Roman" w:hAnsi="Times New Roman" w:cs="Times New Roman"/>
          <w:lang w:eastAsia="zh-CN"/>
        </w:rPr>
        <w:t>；</w:t>
      </w:r>
    </w:p>
    <w:p>
      <w:pPr>
        <w:pStyle w:val="7"/>
        <w:spacing w:before="26" w:line="338" w:lineRule="auto"/>
        <w:ind w:right="3486" w:firstLine="600" w:firstLineChars="250"/>
        <w:rPr>
          <w:rFonts w:ascii="Times New Roman" w:hAnsi="Times New Roman" w:cs="Times New Roman"/>
          <w:lang w:eastAsia="zh-CN"/>
        </w:rPr>
      </w:pPr>
      <w:r>
        <w:rPr>
          <w:rFonts w:ascii="Times New Roman" w:hAnsi="Times New Roman" w:cs="Times New Roman"/>
          <w:lang w:eastAsia="zh-CN"/>
        </w:rPr>
        <w:t>D—浮顶罐直径，m</w:t>
      </w:r>
      <w:r>
        <w:rPr>
          <w:rFonts w:hint="eastAsia" w:ascii="Times New Roman" w:hAnsi="Times New Roman" w:cs="Times New Roman"/>
          <w:lang w:eastAsia="zh-CN"/>
        </w:rPr>
        <w:t>。</w:t>
      </w:r>
    </w:p>
    <w:p>
      <w:pPr>
        <w:pStyle w:val="7"/>
        <w:spacing w:line="480" w:lineRule="exact"/>
        <w:ind w:firstLine="480" w:firstLineChars="200"/>
        <w:jc w:val="both"/>
        <w:rPr>
          <w:rFonts w:ascii="Times New Roman" w:hAnsi="Times New Roman"/>
          <w:lang w:eastAsia="zh-CN"/>
        </w:rPr>
      </w:pPr>
      <w:r>
        <w:rPr>
          <w:rFonts w:ascii="Times New Roman" w:hAnsi="Times New Roman"/>
          <w:lang w:eastAsia="zh-CN"/>
        </w:rPr>
        <w:t>本项目储罐主要贮存废矿物油及基础油产品，无统一的真实蒸气分子量和蒸</w:t>
      </w:r>
      <w:r>
        <w:rPr>
          <w:rFonts w:hint="eastAsia" w:ascii="Times New Roman" w:hAnsi="Times New Roman"/>
          <w:spacing w:val="-3"/>
          <w:lang w:eastAsia="zh-CN"/>
        </w:rPr>
        <w:t>气</w:t>
      </w:r>
      <w:r>
        <w:rPr>
          <w:rFonts w:ascii="Times New Roman" w:hAnsi="Times New Roman"/>
          <w:spacing w:val="-3"/>
          <w:lang w:eastAsia="zh-CN"/>
        </w:rPr>
        <w:t>压力数据，考虑其挥发性总体较低，根据《石油化工设计手册》资料数据，按</w:t>
      </w:r>
      <w:r>
        <w:rPr>
          <w:rFonts w:ascii="Times New Roman" w:hAnsi="Times New Roman"/>
          <w:lang w:eastAsia="zh-CN"/>
        </w:rPr>
        <w:t>柴油或燃料油取值，蒸气分子量</w:t>
      </w:r>
      <w:r>
        <w:rPr>
          <w:rFonts w:ascii="Times New Roman" w:hAnsi="Times New Roman" w:eastAsia="Times New Roman"/>
          <w:spacing w:val="-3"/>
          <w:lang w:eastAsia="zh-CN"/>
        </w:rPr>
        <w:t>M=130</w:t>
      </w:r>
      <w:r>
        <w:rPr>
          <w:rFonts w:ascii="Times New Roman" w:hAnsi="Times New Roman"/>
          <w:spacing w:val="-3"/>
          <w:lang w:eastAsia="zh-CN"/>
        </w:rPr>
        <w:t>（</w:t>
      </w:r>
      <w:r>
        <w:rPr>
          <w:rFonts w:ascii="Times New Roman" w:hAnsi="Times New Roman" w:eastAsia="Times New Roman"/>
          <w:spacing w:val="-3"/>
          <w:lang w:eastAsia="zh-CN"/>
        </w:rPr>
        <w:t>15.6</w:t>
      </w:r>
      <w:r>
        <w:rPr>
          <w:rFonts w:ascii="Times New Roman" w:hAnsi="Times New Roman"/>
          <w:spacing w:val="-3"/>
          <w:lang w:eastAsia="zh-CN"/>
        </w:rPr>
        <w:t>℃）；参考中国石化集团安全工程</w:t>
      </w:r>
      <w:r>
        <w:rPr>
          <w:rFonts w:ascii="Times New Roman" w:hAnsi="Times New Roman"/>
          <w:lang w:eastAsia="zh-CN"/>
        </w:rPr>
        <w:t>研究院牟善军等进行的实验测试（见《轻柴油危险性指标变化及安全储存措施》</w:t>
      </w:r>
      <w:r>
        <w:rPr>
          <w:rFonts w:ascii="Times New Roman" w:hAnsi="Times New Roman" w:eastAsia="Times New Roman"/>
          <w:lang w:eastAsia="zh-CN"/>
        </w:rPr>
        <w:t>[</w:t>
      </w:r>
      <w:r>
        <w:rPr>
          <w:rFonts w:ascii="Times New Roman" w:hAnsi="Times New Roman"/>
          <w:lang w:eastAsia="zh-CN"/>
        </w:rPr>
        <w:t>石油商技，</w:t>
      </w:r>
      <w:r>
        <w:rPr>
          <w:rFonts w:ascii="Times New Roman" w:hAnsi="Times New Roman" w:eastAsia="Times New Roman"/>
          <w:lang w:eastAsia="zh-CN"/>
        </w:rPr>
        <w:t>2003</w:t>
      </w:r>
      <w:r>
        <w:rPr>
          <w:rFonts w:ascii="Times New Roman" w:hAnsi="Times New Roman"/>
          <w:lang w:eastAsia="zh-CN"/>
        </w:rPr>
        <w:t>年第</w:t>
      </w:r>
      <w:r>
        <w:rPr>
          <w:rFonts w:ascii="Times New Roman" w:hAnsi="Times New Roman" w:eastAsia="Times New Roman"/>
          <w:lang w:eastAsia="zh-CN"/>
        </w:rPr>
        <w:t>21</w:t>
      </w:r>
      <w:r>
        <w:rPr>
          <w:rFonts w:ascii="Times New Roman" w:hAnsi="Times New Roman"/>
          <w:lang w:eastAsia="zh-CN"/>
        </w:rPr>
        <w:t>卷第</w:t>
      </w:r>
      <w:r>
        <w:rPr>
          <w:rFonts w:ascii="Times New Roman" w:hAnsi="Times New Roman" w:eastAsia="Times New Roman"/>
          <w:lang w:eastAsia="zh-CN"/>
        </w:rPr>
        <w:t>2</w:t>
      </w:r>
      <w:r>
        <w:rPr>
          <w:rFonts w:ascii="Times New Roman" w:hAnsi="Times New Roman"/>
          <w:spacing w:val="-4"/>
          <w:lang w:eastAsia="zh-CN"/>
        </w:rPr>
        <w:t>期：</w:t>
      </w:r>
      <w:r>
        <w:rPr>
          <w:rFonts w:ascii="Times New Roman" w:hAnsi="Times New Roman" w:eastAsia="Times New Roman"/>
          <w:spacing w:val="-4"/>
          <w:lang w:eastAsia="zh-CN"/>
        </w:rPr>
        <w:t>17-19]</w:t>
      </w:r>
      <w:r>
        <w:rPr>
          <w:rFonts w:ascii="Times New Roman" w:hAnsi="Times New Roman"/>
          <w:spacing w:val="-4"/>
          <w:lang w:eastAsia="zh-CN"/>
        </w:rPr>
        <w:t>），低闪点轻柴油（闪点</w:t>
      </w:r>
      <w:r>
        <w:rPr>
          <w:rFonts w:ascii="Times New Roman" w:hAnsi="Times New Roman" w:eastAsia="Times New Roman"/>
          <w:spacing w:val="-3"/>
          <w:lang w:eastAsia="zh-CN"/>
        </w:rPr>
        <w:t>55</w:t>
      </w:r>
      <w:r>
        <w:rPr>
          <w:rFonts w:ascii="Times New Roman" w:hAnsi="Times New Roman"/>
          <w:spacing w:val="-3"/>
          <w:lang w:eastAsia="zh-CN"/>
        </w:rPr>
        <w:t>℃）的饱</w:t>
      </w:r>
      <w:r>
        <w:rPr>
          <w:rFonts w:ascii="Times New Roman" w:hAnsi="Times New Roman"/>
          <w:lang w:eastAsia="zh-CN"/>
        </w:rPr>
        <w:t>和蒸气压测试结果，本计算取</w:t>
      </w:r>
      <w:r>
        <w:rPr>
          <w:rFonts w:ascii="Times New Roman" w:hAnsi="Times New Roman" w:eastAsia="Times New Roman"/>
          <w:lang w:eastAsia="zh-CN"/>
        </w:rPr>
        <w:t>P=667 Pa</w:t>
      </w:r>
      <w:r>
        <w:rPr>
          <w:rFonts w:ascii="Times New Roman" w:hAnsi="Times New Roman"/>
          <w:lang w:eastAsia="zh-CN"/>
        </w:rPr>
        <w:t>；</w:t>
      </w:r>
      <w:r>
        <w:rPr>
          <w:rFonts w:ascii="Times New Roman" w:hAnsi="Times New Roman" w:eastAsia="Times New Roman"/>
          <w:lang w:eastAsia="zh-CN"/>
        </w:rPr>
        <w:t>Kc=1.0</w:t>
      </w:r>
      <w:r>
        <w:rPr>
          <w:rFonts w:ascii="Times New Roman" w:hAnsi="Times New Roman"/>
          <w:lang w:eastAsia="zh-CN"/>
        </w:rPr>
        <w:t>。</w:t>
      </w:r>
    </w:p>
    <w:p>
      <w:pPr>
        <w:pStyle w:val="7"/>
        <w:spacing w:line="480" w:lineRule="exact"/>
        <w:ind w:firstLine="480" w:firstLineChars="200"/>
        <w:jc w:val="both"/>
        <w:rPr>
          <w:rFonts w:ascii="Times New Roman" w:hAnsi="Times New Roman"/>
          <w:lang w:eastAsia="zh-CN"/>
        </w:rPr>
      </w:pPr>
      <w:r>
        <w:rPr>
          <w:rFonts w:ascii="Times New Roman" w:hAnsi="Times New Roman"/>
          <w:lang w:eastAsia="zh-CN"/>
        </w:rPr>
        <w:t>为了减少油罐的大呼吸损耗，本项目对罐区的储罐呼吸口均安装套管，对储罐收油时产生的大呼吸废气进行收集。</w:t>
      </w:r>
      <w:r>
        <w:rPr>
          <w:rFonts w:hint="eastAsia" w:ascii="Times New Roman" w:hAnsi="Times New Roman"/>
          <w:lang w:eastAsia="zh-CN"/>
        </w:rPr>
        <w:t>项目采用冷凝法油气回收系统。冷凝法油气回收系统是采用多级连续冷却方法降低挥发油气的温度，油气依次经过预冷段将温度降至 3～10℃，复叠第一级冷凝将温度降至-25℃，复叠第二级冷凝将温度降至-60℃，从而将尾气中的烃类</w:t>
      </w:r>
      <w:r>
        <w:rPr>
          <w:rFonts w:ascii="Times New Roman" w:hAnsi="Times New Roman"/>
          <w:lang w:eastAsia="zh-CN"/>
        </w:rPr>
        <w:t>组分和空气的混合气冷凝</w:t>
      </w:r>
      <w:r>
        <w:rPr>
          <w:rFonts w:hint="eastAsia" w:ascii="Times New Roman" w:hAnsi="Times New Roman"/>
          <w:lang w:eastAsia="zh-CN"/>
        </w:rPr>
        <w:t>液化，混合烃类蒸汽经过冷凝，混合气体残余浓度测算约为 60～90g/m</w:t>
      </w:r>
      <w:r>
        <w:rPr>
          <w:rFonts w:hint="eastAsia" w:ascii="Times New Roman" w:hAnsi="Times New Roman"/>
          <w:vertAlign w:val="superscript"/>
          <w:lang w:eastAsia="zh-CN"/>
        </w:rPr>
        <w:t>3</w:t>
      </w:r>
      <w:r>
        <w:rPr>
          <w:rFonts w:hint="eastAsia" w:ascii="Times New Roman" w:hAnsi="Times New Roman"/>
          <w:lang w:eastAsia="zh-CN"/>
        </w:rPr>
        <w:t>，经过富集系统，混合气中的烃类蒸汽被截留，空气排放。油气富集系统基本结构设计为壳管程内外同轴罐体，吸附剂为专用活性炭。基本原理为：当吸附罐 A 富集油气时，对吸附罐 B 进行负压脱取富集的油气，反之当吸附罐B富集油气时，对吸附罐 A 进行负压脱取富集的油气。脱附出来的油气循环进入前端继续降温液化。完成对混合气体的相变液化，实现对油气的彻底回收。冷凝法是利用烃类物质在不同温度下的蒸汽压差异，通过降温使油气中一些烃类蒸汽压达到过饱和状态，过饱和蒸汽冷凝成液态，使油气中的轻油成分凝聚为液体而排出较洁净油气。</w:t>
      </w:r>
    </w:p>
    <w:p>
      <w:pPr>
        <w:spacing w:line="480" w:lineRule="exact"/>
        <w:ind w:firstLine="420" w:firstLineChars="200"/>
        <w:rPr>
          <w:rFonts w:ascii="Times New Roman" w:hAnsi="Times New Roman" w:eastAsia="宋体"/>
          <w:b/>
          <w:kern w:val="0"/>
          <w:sz w:val="24"/>
          <w:szCs w:val="24"/>
        </w:rPr>
      </w:pPr>
      <w:r>
        <w:drawing>
          <wp:anchor distT="0" distB="0" distL="114300" distR="114300" simplePos="0" relativeHeight="251663360" behindDoc="0" locked="0" layoutInCell="1" allowOverlap="1">
            <wp:simplePos x="0" y="0"/>
            <wp:positionH relativeFrom="column">
              <wp:posOffset>0</wp:posOffset>
            </wp:positionH>
            <wp:positionV relativeFrom="paragraph">
              <wp:posOffset>304800</wp:posOffset>
            </wp:positionV>
            <wp:extent cx="4984750" cy="420243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rcRect l="43097" t="27827" r="33390" b="24478"/>
                    <a:stretch>
                      <a:fillRect/>
                    </a:stretch>
                  </pic:blipFill>
                  <pic:spPr>
                    <a:xfrm>
                      <a:off x="0" y="0"/>
                      <a:ext cx="4984750" cy="4202430"/>
                    </a:xfrm>
                    <a:prstGeom prst="rect">
                      <a:avLst/>
                    </a:prstGeom>
                    <a:noFill/>
                    <a:ln>
                      <a:noFill/>
                    </a:ln>
                  </pic:spPr>
                </pic:pic>
              </a:graphicData>
            </a:graphic>
          </wp:anchor>
        </w:drawing>
      </w:r>
    </w:p>
    <w:p>
      <w:pPr>
        <w:pStyle w:val="50"/>
        <w:ind w:firstLine="0" w:firstLineChars="0"/>
        <w:rPr>
          <w:color w:val="auto"/>
        </w:rPr>
      </w:pPr>
      <w:r>
        <w:rPr>
          <w:rFonts w:hint="eastAsia"/>
          <w:color w:val="auto"/>
        </w:rPr>
        <w:t>图3.</w:t>
      </w:r>
      <w:r>
        <w:rPr>
          <w:color w:val="auto"/>
        </w:rPr>
        <w:t>8</w:t>
      </w:r>
      <w:r>
        <w:rPr>
          <w:rFonts w:hint="eastAsia"/>
          <w:color w:val="auto"/>
        </w:rPr>
        <w:t>-</w:t>
      </w:r>
      <w:r>
        <w:rPr>
          <w:color w:val="auto"/>
        </w:rPr>
        <w:t xml:space="preserve">1  </w:t>
      </w:r>
      <w:r>
        <w:rPr>
          <w:rFonts w:hint="eastAsia"/>
          <w:color w:val="auto"/>
        </w:rPr>
        <w:t>项目油气回收系统示意图</w:t>
      </w:r>
    </w:p>
    <w:p>
      <w:pPr>
        <w:spacing w:line="480" w:lineRule="exact"/>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表3.8-2   储罐大呼吸废气产生及排放量计算结果一览表</w:t>
      </w:r>
    </w:p>
    <w:tbl>
      <w:tblPr>
        <w:tblStyle w:val="19"/>
        <w:tblW w:w="830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18"/>
        <w:gridCol w:w="636"/>
        <w:gridCol w:w="631"/>
        <w:gridCol w:w="846"/>
        <w:gridCol w:w="1004"/>
        <w:gridCol w:w="847"/>
        <w:gridCol w:w="711"/>
        <w:gridCol w:w="689"/>
        <w:gridCol w:w="806"/>
        <w:gridCol w:w="8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19" w:hRule="atLeast"/>
          <w:jc w:val="center"/>
        </w:trPr>
        <w:tc>
          <w:tcPr>
            <w:tcW w:w="1318"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罐组</w:t>
            </w:r>
          </w:p>
        </w:tc>
        <w:tc>
          <w:tcPr>
            <w:tcW w:w="636"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规格</w:t>
            </w:r>
          </w:p>
        </w:tc>
        <w:tc>
          <w:tcPr>
            <w:tcW w:w="631"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数量</w:t>
            </w:r>
          </w:p>
        </w:tc>
        <w:tc>
          <w:tcPr>
            <w:tcW w:w="1850" w:type="dxa"/>
            <w:gridSpan w:val="2"/>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年周转量</w:t>
            </w:r>
          </w:p>
        </w:tc>
        <w:tc>
          <w:tcPr>
            <w:tcW w:w="847"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年周转次数</w:t>
            </w:r>
          </w:p>
        </w:tc>
        <w:tc>
          <w:tcPr>
            <w:tcW w:w="1400" w:type="dxa"/>
            <w:gridSpan w:val="2"/>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大呼吸损耗</w:t>
            </w:r>
          </w:p>
        </w:tc>
        <w:tc>
          <w:tcPr>
            <w:tcW w:w="1618" w:type="dxa"/>
            <w:gridSpan w:val="2"/>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大呼吸采取措施后排放量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19" w:hRule="atLeast"/>
          <w:jc w:val="center"/>
        </w:trPr>
        <w:tc>
          <w:tcPr>
            <w:tcW w:w="1318" w:type="dxa"/>
            <w:vMerge w:val="continue"/>
            <w:vAlign w:val="center"/>
          </w:tcPr>
          <w:p>
            <w:pPr>
              <w:widowControl/>
              <w:spacing w:line="240" w:lineRule="exact"/>
              <w:jc w:val="left"/>
              <w:rPr>
                <w:rFonts w:ascii="Times New Roman" w:hAnsi="Times New Roman" w:eastAsia="宋体"/>
                <w:kern w:val="0"/>
                <w:szCs w:val="21"/>
              </w:rPr>
            </w:pPr>
          </w:p>
        </w:tc>
        <w:tc>
          <w:tcPr>
            <w:tcW w:w="636" w:type="dxa"/>
            <w:vMerge w:val="continue"/>
            <w:vAlign w:val="center"/>
          </w:tcPr>
          <w:p>
            <w:pPr>
              <w:widowControl/>
              <w:spacing w:line="240" w:lineRule="exact"/>
              <w:jc w:val="left"/>
              <w:rPr>
                <w:rFonts w:ascii="Times New Roman" w:hAnsi="Times New Roman" w:eastAsia="宋体"/>
                <w:kern w:val="0"/>
                <w:szCs w:val="21"/>
              </w:rPr>
            </w:pPr>
          </w:p>
        </w:tc>
        <w:tc>
          <w:tcPr>
            <w:tcW w:w="631" w:type="dxa"/>
            <w:vMerge w:val="continue"/>
            <w:vAlign w:val="center"/>
          </w:tcPr>
          <w:p>
            <w:pPr>
              <w:widowControl/>
              <w:spacing w:line="240" w:lineRule="exact"/>
              <w:jc w:val="left"/>
              <w:rPr>
                <w:rFonts w:ascii="Times New Roman" w:hAnsi="Times New Roman" w:eastAsia="宋体"/>
                <w:kern w:val="0"/>
                <w:szCs w:val="21"/>
              </w:rPr>
            </w:pPr>
          </w:p>
        </w:tc>
        <w:tc>
          <w:tcPr>
            <w:tcW w:w="1850" w:type="dxa"/>
            <w:gridSpan w:val="2"/>
            <w:vMerge w:val="continue"/>
            <w:vAlign w:val="center"/>
          </w:tcPr>
          <w:p>
            <w:pPr>
              <w:widowControl/>
              <w:spacing w:line="240" w:lineRule="exact"/>
              <w:jc w:val="left"/>
              <w:rPr>
                <w:rFonts w:ascii="Times New Roman" w:hAnsi="Times New Roman" w:eastAsia="宋体"/>
                <w:kern w:val="0"/>
                <w:szCs w:val="21"/>
              </w:rPr>
            </w:pPr>
          </w:p>
        </w:tc>
        <w:tc>
          <w:tcPr>
            <w:tcW w:w="847" w:type="dxa"/>
            <w:vMerge w:val="continue"/>
            <w:vAlign w:val="center"/>
          </w:tcPr>
          <w:p>
            <w:pPr>
              <w:widowControl/>
              <w:spacing w:line="240" w:lineRule="exact"/>
              <w:jc w:val="left"/>
              <w:rPr>
                <w:rFonts w:ascii="Times New Roman" w:hAnsi="Times New Roman" w:eastAsia="宋体"/>
                <w:kern w:val="0"/>
                <w:szCs w:val="21"/>
              </w:rPr>
            </w:pPr>
          </w:p>
        </w:tc>
        <w:tc>
          <w:tcPr>
            <w:tcW w:w="1400" w:type="dxa"/>
            <w:gridSpan w:val="2"/>
            <w:vMerge w:val="continue"/>
            <w:vAlign w:val="center"/>
          </w:tcPr>
          <w:p>
            <w:pPr>
              <w:widowControl/>
              <w:spacing w:line="240" w:lineRule="exact"/>
              <w:jc w:val="left"/>
              <w:rPr>
                <w:rFonts w:ascii="Times New Roman" w:hAnsi="Times New Roman" w:eastAsia="宋体"/>
                <w:kern w:val="0"/>
                <w:szCs w:val="21"/>
              </w:rPr>
            </w:pPr>
          </w:p>
        </w:tc>
        <w:tc>
          <w:tcPr>
            <w:tcW w:w="1618" w:type="dxa"/>
            <w:gridSpan w:val="2"/>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03" w:hRule="atLeast"/>
          <w:jc w:val="center"/>
        </w:trPr>
        <w:tc>
          <w:tcPr>
            <w:tcW w:w="1318"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单位</w:t>
            </w:r>
          </w:p>
        </w:tc>
        <w:tc>
          <w:tcPr>
            <w:tcW w:w="636"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m³</w:t>
            </w:r>
          </w:p>
        </w:tc>
        <w:tc>
          <w:tcPr>
            <w:tcW w:w="631"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座</w:t>
            </w:r>
          </w:p>
        </w:tc>
        <w:tc>
          <w:tcPr>
            <w:tcW w:w="846"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t/a</w:t>
            </w:r>
          </w:p>
        </w:tc>
        <w:tc>
          <w:tcPr>
            <w:tcW w:w="1004"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m³/a</w:t>
            </w:r>
          </w:p>
        </w:tc>
        <w:tc>
          <w:tcPr>
            <w:tcW w:w="847"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次</w:t>
            </w:r>
          </w:p>
        </w:tc>
        <w:tc>
          <w:tcPr>
            <w:tcW w:w="711"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kg/m³</w:t>
            </w:r>
          </w:p>
        </w:tc>
        <w:tc>
          <w:tcPr>
            <w:tcW w:w="689"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t/a</w:t>
            </w:r>
          </w:p>
        </w:tc>
        <w:tc>
          <w:tcPr>
            <w:tcW w:w="806"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t/a</w:t>
            </w:r>
          </w:p>
        </w:tc>
        <w:tc>
          <w:tcPr>
            <w:tcW w:w="812"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kg/h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19" w:hRule="atLeast"/>
          <w:jc w:val="center"/>
        </w:trPr>
        <w:tc>
          <w:tcPr>
            <w:tcW w:w="1318"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原料油</w:t>
            </w:r>
          </w:p>
        </w:tc>
        <w:tc>
          <w:tcPr>
            <w:tcW w:w="636"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1000</w:t>
            </w:r>
          </w:p>
        </w:tc>
        <w:tc>
          <w:tcPr>
            <w:tcW w:w="631"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12</w:t>
            </w:r>
          </w:p>
        </w:tc>
        <w:tc>
          <w:tcPr>
            <w:tcW w:w="846"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100000</w:t>
            </w:r>
          </w:p>
        </w:tc>
        <w:tc>
          <w:tcPr>
            <w:tcW w:w="1004"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110011.0</w:t>
            </w:r>
          </w:p>
        </w:tc>
        <w:tc>
          <w:tcPr>
            <w:tcW w:w="847" w:type="dxa"/>
            <w:vMerge w:val="restart"/>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9.16</w:t>
            </w:r>
          </w:p>
        </w:tc>
        <w:tc>
          <w:tcPr>
            <w:tcW w:w="711"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0.0</w:t>
            </w:r>
            <w:r>
              <w:rPr>
                <w:rFonts w:hint="eastAsia" w:ascii="Times New Roman" w:hAnsi="Times New Roman" w:eastAsia="宋体"/>
                <w:kern w:val="0"/>
                <w:szCs w:val="21"/>
              </w:rPr>
              <w:t>36</w:t>
            </w:r>
          </w:p>
        </w:tc>
        <w:tc>
          <w:tcPr>
            <w:tcW w:w="689"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3.9</w:t>
            </w:r>
            <w:r>
              <w:rPr>
                <w:rFonts w:hint="eastAsia" w:ascii="Times New Roman" w:hAnsi="Times New Roman" w:eastAsia="宋体"/>
                <w:kern w:val="0"/>
                <w:szCs w:val="21"/>
              </w:rPr>
              <w:t>60</w:t>
            </w:r>
          </w:p>
        </w:tc>
        <w:tc>
          <w:tcPr>
            <w:tcW w:w="806"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0.6</w:t>
            </w:r>
          </w:p>
        </w:tc>
        <w:tc>
          <w:tcPr>
            <w:tcW w:w="812"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0.074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19" w:hRule="atLeast"/>
          <w:jc w:val="center"/>
        </w:trPr>
        <w:tc>
          <w:tcPr>
            <w:tcW w:w="1318" w:type="dxa"/>
            <w:vMerge w:val="continue"/>
            <w:vAlign w:val="center"/>
          </w:tcPr>
          <w:p>
            <w:pPr>
              <w:widowControl/>
              <w:spacing w:line="240" w:lineRule="exact"/>
              <w:jc w:val="left"/>
              <w:rPr>
                <w:rFonts w:ascii="Times New Roman" w:hAnsi="Times New Roman" w:eastAsia="宋体"/>
                <w:kern w:val="0"/>
                <w:szCs w:val="21"/>
              </w:rPr>
            </w:pPr>
          </w:p>
        </w:tc>
        <w:tc>
          <w:tcPr>
            <w:tcW w:w="636" w:type="dxa"/>
            <w:vMerge w:val="continue"/>
            <w:vAlign w:val="center"/>
          </w:tcPr>
          <w:p>
            <w:pPr>
              <w:widowControl/>
              <w:spacing w:line="240" w:lineRule="exact"/>
              <w:jc w:val="left"/>
              <w:rPr>
                <w:rFonts w:ascii="Times New Roman" w:hAnsi="Times New Roman" w:eastAsia="宋体"/>
                <w:kern w:val="0"/>
                <w:szCs w:val="21"/>
              </w:rPr>
            </w:pPr>
          </w:p>
        </w:tc>
        <w:tc>
          <w:tcPr>
            <w:tcW w:w="631" w:type="dxa"/>
            <w:vMerge w:val="continue"/>
            <w:vAlign w:val="center"/>
          </w:tcPr>
          <w:p>
            <w:pPr>
              <w:widowControl/>
              <w:spacing w:line="240" w:lineRule="exact"/>
              <w:jc w:val="left"/>
              <w:rPr>
                <w:rFonts w:ascii="Times New Roman" w:hAnsi="Times New Roman" w:eastAsia="宋体"/>
                <w:kern w:val="0"/>
                <w:szCs w:val="21"/>
              </w:rPr>
            </w:pPr>
          </w:p>
        </w:tc>
        <w:tc>
          <w:tcPr>
            <w:tcW w:w="846" w:type="dxa"/>
            <w:vMerge w:val="continue"/>
            <w:vAlign w:val="center"/>
          </w:tcPr>
          <w:p>
            <w:pPr>
              <w:widowControl/>
              <w:spacing w:line="240" w:lineRule="exact"/>
              <w:jc w:val="left"/>
              <w:rPr>
                <w:rFonts w:ascii="Times New Roman" w:hAnsi="Times New Roman" w:eastAsia="宋体"/>
                <w:kern w:val="0"/>
                <w:szCs w:val="21"/>
              </w:rPr>
            </w:pPr>
          </w:p>
        </w:tc>
        <w:tc>
          <w:tcPr>
            <w:tcW w:w="1004" w:type="dxa"/>
            <w:vMerge w:val="continue"/>
            <w:vAlign w:val="center"/>
          </w:tcPr>
          <w:p>
            <w:pPr>
              <w:widowControl/>
              <w:spacing w:line="240" w:lineRule="exact"/>
              <w:jc w:val="left"/>
              <w:rPr>
                <w:rFonts w:ascii="Times New Roman" w:hAnsi="Times New Roman" w:eastAsia="宋体"/>
                <w:kern w:val="0"/>
                <w:szCs w:val="21"/>
              </w:rPr>
            </w:pPr>
          </w:p>
        </w:tc>
        <w:tc>
          <w:tcPr>
            <w:tcW w:w="847" w:type="dxa"/>
            <w:vMerge w:val="continue"/>
            <w:vAlign w:val="center"/>
          </w:tcPr>
          <w:p>
            <w:pPr>
              <w:widowControl/>
              <w:spacing w:line="240" w:lineRule="exact"/>
              <w:jc w:val="left"/>
              <w:rPr>
                <w:rFonts w:ascii="Times New Roman" w:hAnsi="Times New Roman" w:eastAsia="宋体"/>
                <w:kern w:val="0"/>
                <w:szCs w:val="21"/>
              </w:rPr>
            </w:pPr>
          </w:p>
        </w:tc>
        <w:tc>
          <w:tcPr>
            <w:tcW w:w="711" w:type="dxa"/>
            <w:vMerge w:val="continue"/>
            <w:vAlign w:val="center"/>
          </w:tcPr>
          <w:p>
            <w:pPr>
              <w:widowControl/>
              <w:spacing w:line="240" w:lineRule="exact"/>
              <w:jc w:val="left"/>
              <w:rPr>
                <w:rFonts w:ascii="Times New Roman" w:hAnsi="Times New Roman" w:eastAsia="宋体"/>
                <w:kern w:val="0"/>
                <w:szCs w:val="21"/>
              </w:rPr>
            </w:pPr>
          </w:p>
        </w:tc>
        <w:tc>
          <w:tcPr>
            <w:tcW w:w="689" w:type="dxa"/>
            <w:vMerge w:val="continue"/>
            <w:vAlign w:val="center"/>
          </w:tcPr>
          <w:p>
            <w:pPr>
              <w:widowControl/>
              <w:spacing w:line="240" w:lineRule="exact"/>
              <w:jc w:val="left"/>
              <w:rPr>
                <w:rFonts w:ascii="Times New Roman" w:hAnsi="Times New Roman" w:eastAsia="宋体"/>
                <w:kern w:val="0"/>
                <w:szCs w:val="21"/>
              </w:rPr>
            </w:pPr>
          </w:p>
        </w:tc>
        <w:tc>
          <w:tcPr>
            <w:tcW w:w="806" w:type="dxa"/>
            <w:vMerge w:val="continue"/>
            <w:vAlign w:val="center"/>
          </w:tcPr>
          <w:p>
            <w:pPr>
              <w:widowControl/>
              <w:spacing w:line="240" w:lineRule="exact"/>
              <w:jc w:val="left"/>
              <w:rPr>
                <w:rFonts w:ascii="Times New Roman" w:hAnsi="Times New Roman" w:eastAsia="宋体"/>
                <w:kern w:val="0"/>
                <w:szCs w:val="21"/>
              </w:rPr>
            </w:pPr>
          </w:p>
        </w:tc>
        <w:tc>
          <w:tcPr>
            <w:tcW w:w="812"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00" w:hRule="atLeast"/>
          <w:jc w:val="center"/>
        </w:trPr>
        <w:tc>
          <w:tcPr>
            <w:tcW w:w="1318"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75#基础油</w:t>
            </w:r>
          </w:p>
        </w:tc>
        <w:tc>
          <w:tcPr>
            <w:tcW w:w="636"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1000</w:t>
            </w:r>
          </w:p>
        </w:tc>
        <w:tc>
          <w:tcPr>
            <w:tcW w:w="631"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w:t>
            </w:r>
          </w:p>
        </w:tc>
        <w:tc>
          <w:tcPr>
            <w:tcW w:w="846"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78000</w:t>
            </w:r>
          </w:p>
        </w:tc>
        <w:tc>
          <w:tcPr>
            <w:tcW w:w="1004"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93413.18</w:t>
            </w:r>
          </w:p>
        </w:tc>
        <w:tc>
          <w:tcPr>
            <w:tcW w:w="847" w:type="dxa"/>
            <w:vMerge w:val="restart"/>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11.67</w:t>
            </w:r>
          </w:p>
        </w:tc>
        <w:tc>
          <w:tcPr>
            <w:tcW w:w="711"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0.0</w:t>
            </w:r>
            <w:r>
              <w:rPr>
                <w:rFonts w:hint="eastAsia" w:ascii="Times New Roman" w:hAnsi="Times New Roman" w:eastAsia="宋体"/>
                <w:kern w:val="0"/>
                <w:szCs w:val="21"/>
              </w:rPr>
              <w:t>36</w:t>
            </w:r>
          </w:p>
        </w:tc>
        <w:tc>
          <w:tcPr>
            <w:tcW w:w="689"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3.392</w:t>
            </w:r>
          </w:p>
        </w:tc>
        <w:tc>
          <w:tcPr>
            <w:tcW w:w="806"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0.5</w:t>
            </w:r>
          </w:p>
        </w:tc>
        <w:tc>
          <w:tcPr>
            <w:tcW w:w="812"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0.064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00" w:hRule="atLeast"/>
          <w:jc w:val="center"/>
        </w:trPr>
        <w:tc>
          <w:tcPr>
            <w:tcW w:w="1318"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100#基础油</w:t>
            </w:r>
          </w:p>
        </w:tc>
        <w:tc>
          <w:tcPr>
            <w:tcW w:w="636"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1000</w:t>
            </w:r>
          </w:p>
        </w:tc>
        <w:tc>
          <w:tcPr>
            <w:tcW w:w="631"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2</w:t>
            </w:r>
          </w:p>
        </w:tc>
        <w:tc>
          <w:tcPr>
            <w:tcW w:w="846" w:type="dxa"/>
            <w:vMerge w:val="continue"/>
            <w:vAlign w:val="center"/>
          </w:tcPr>
          <w:p>
            <w:pPr>
              <w:widowControl/>
              <w:spacing w:line="240" w:lineRule="exact"/>
              <w:jc w:val="center"/>
              <w:rPr>
                <w:rFonts w:ascii="Times New Roman" w:hAnsi="Times New Roman" w:eastAsia="宋体"/>
                <w:kern w:val="0"/>
                <w:szCs w:val="21"/>
              </w:rPr>
            </w:pPr>
          </w:p>
        </w:tc>
        <w:tc>
          <w:tcPr>
            <w:tcW w:w="1004" w:type="dxa"/>
            <w:vMerge w:val="continue"/>
            <w:vAlign w:val="center"/>
          </w:tcPr>
          <w:p>
            <w:pPr>
              <w:widowControl/>
              <w:spacing w:line="240" w:lineRule="exact"/>
              <w:jc w:val="center"/>
              <w:rPr>
                <w:rFonts w:ascii="Times New Roman" w:hAnsi="Times New Roman" w:eastAsia="宋体"/>
                <w:kern w:val="0"/>
                <w:szCs w:val="21"/>
              </w:rPr>
            </w:pPr>
          </w:p>
        </w:tc>
        <w:tc>
          <w:tcPr>
            <w:tcW w:w="847" w:type="dxa"/>
            <w:vMerge w:val="continue"/>
            <w:vAlign w:val="center"/>
          </w:tcPr>
          <w:p>
            <w:pPr>
              <w:widowControl/>
              <w:spacing w:line="240" w:lineRule="exact"/>
              <w:jc w:val="center"/>
              <w:rPr>
                <w:rFonts w:ascii="Times New Roman" w:hAnsi="Times New Roman" w:eastAsia="宋体"/>
                <w:kern w:val="0"/>
                <w:szCs w:val="21"/>
              </w:rPr>
            </w:pPr>
          </w:p>
        </w:tc>
        <w:tc>
          <w:tcPr>
            <w:tcW w:w="711" w:type="dxa"/>
            <w:vMerge w:val="continue"/>
            <w:vAlign w:val="center"/>
          </w:tcPr>
          <w:p>
            <w:pPr>
              <w:widowControl/>
              <w:spacing w:line="240" w:lineRule="exact"/>
              <w:jc w:val="center"/>
              <w:rPr>
                <w:rFonts w:ascii="Times New Roman" w:hAnsi="Times New Roman" w:eastAsia="宋体"/>
                <w:kern w:val="0"/>
                <w:szCs w:val="21"/>
              </w:rPr>
            </w:pPr>
          </w:p>
        </w:tc>
        <w:tc>
          <w:tcPr>
            <w:tcW w:w="689" w:type="dxa"/>
            <w:vMerge w:val="continue"/>
            <w:vAlign w:val="center"/>
          </w:tcPr>
          <w:p>
            <w:pPr>
              <w:widowControl/>
              <w:spacing w:line="240" w:lineRule="exact"/>
              <w:jc w:val="center"/>
              <w:rPr>
                <w:rFonts w:ascii="Times New Roman" w:hAnsi="Times New Roman" w:eastAsia="宋体"/>
                <w:kern w:val="0"/>
                <w:szCs w:val="21"/>
              </w:rPr>
            </w:pPr>
          </w:p>
        </w:tc>
        <w:tc>
          <w:tcPr>
            <w:tcW w:w="806" w:type="dxa"/>
            <w:vMerge w:val="continue"/>
            <w:vAlign w:val="center"/>
          </w:tcPr>
          <w:p>
            <w:pPr>
              <w:widowControl/>
              <w:spacing w:line="240" w:lineRule="exact"/>
              <w:jc w:val="center"/>
              <w:rPr>
                <w:rFonts w:ascii="Times New Roman" w:hAnsi="Times New Roman" w:eastAsia="宋体"/>
                <w:kern w:val="0"/>
                <w:szCs w:val="21"/>
              </w:rPr>
            </w:pPr>
          </w:p>
        </w:tc>
        <w:tc>
          <w:tcPr>
            <w:tcW w:w="812" w:type="dxa"/>
            <w:vMerge w:val="continue"/>
            <w:vAlign w:val="center"/>
          </w:tcPr>
          <w:p>
            <w:pPr>
              <w:widowControl/>
              <w:spacing w:line="240" w:lineRule="exact"/>
              <w:jc w:val="center"/>
              <w:rPr>
                <w:rFonts w:ascii="Times New Roman" w:hAnsi="Times New Roman" w:eastAsia="宋体"/>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00" w:hRule="atLeast"/>
          <w:jc w:val="center"/>
        </w:trPr>
        <w:tc>
          <w:tcPr>
            <w:tcW w:w="1318"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150#基础油</w:t>
            </w:r>
          </w:p>
        </w:tc>
        <w:tc>
          <w:tcPr>
            <w:tcW w:w="636"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1000</w:t>
            </w:r>
          </w:p>
        </w:tc>
        <w:tc>
          <w:tcPr>
            <w:tcW w:w="631"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2</w:t>
            </w:r>
          </w:p>
        </w:tc>
        <w:tc>
          <w:tcPr>
            <w:tcW w:w="846" w:type="dxa"/>
            <w:vMerge w:val="continue"/>
            <w:vAlign w:val="center"/>
          </w:tcPr>
          <w:p>
            <w:pPr>
              <w:widowControl/>
              <w:spacing w:line="240" w:lineRule="exact"/>
              <w:jc w:val="center"/>
              <w:rPr>
                <w:rFonts w:ascii="Times New Roman" w:hAnsi="Times New Roman" w:eastAsia="宋体"/>
                <w:kern w:val="0"/>
                <w:szCs w:val="21"/>
              </w:rPr>
            </w:pPr>
          </w:p>
        </w:tc>
        <w:tc>
          <w:tcPr>
            <w:tcW w:w="1004" w:type="dxa"/>
            <w:vMerge w:val="continue"/>
            <w:vAlign w:val="center"/>
          </w:tcPr>
          <w:p>
            <w:pPr>
              <w:widowControl/>
              <w:spacing w:line="240" w:lineRule="exact"/>
              <w:jc w:val="center"/>
              <w:rPr>
                <w:rFonts w:ascii="Times New Roman" w:hAnsi="Times New Roman" w:eastAsia="宋体"/>
                <w:kern w:val="0"/>
                <w:szCs w:val="21"/>
              </w:rPr>
            </w:pPr>
          </w:p>
        </w:tc>
        <w:tc>
          <w:tcPr>
            <w:tcW w:w="847" w:type="dxa"/>
            <w:vMerge w:val="continue"/>
            <w:vAlign w:val="center"/>
          </w:tcPr>
          <w:p>
            <w:pPr>
              <w:widowControl/>
              <w:spacing w:line="240" w:lineRule="exact"/>
              <w:jc w:val="center"/>
              <w:rPr>
                <w:rFonts w:ascii="Times New Roman" w:hAnsi="Times New Roman" w:eastAsia="宋体"/>
                <w:kern w:val="0"/>
                <w:szCs w:val="21"/>
              </w:rPr>
            </w:pPr>
          </w:p>
        </w:tc>
        <w:tc>
          <w:tcPr>
            <w:tcW w:w="711" w:type="dxa"/>
            <w:vMerge w:val="continue"/>
            <w:vAlign w:val="center"/>
          </w:tcPr>
          <w:p>
            <w:pPr>
              <w:widowControl/>
              <w:spacing w:line="240" w:lineRule="exact"/>
              <w:jc w:val="center"/>
              <w:rPr>
                <w:rFonts w:ascii="Times New Roman" w:hAnsi="Times New Roman" w:eastAsia="宋体"/>
                <w:kern w:val="0"/>
                <w:szCs w:val="21"/>
              </w:rPr>
            </w:pPr>
          </w:p>
        </w:tc>
        <w:tc>
          <w:tcPr>
            <w:tcW w:w="689" w:type="dxa"/>
            <w:vMerge w:val="continue"/>
            <w:vAlign w:val="center"/>
          </w:tcPr>
          <w:p>
            <w:pPr>
              <w:widowControl/>
              <w:spacing w:line="240" w:lineRule="exact"/>
              <w:jc w:val="center"/>
              <w:rPr>
                <w:rFonts w:ascii="Times New Roman" w:hAnsi="Times New Roman" w:eastAsia="宋体"/>
                <w:kern w:val="0"/>
                <w:szCs w:val="21"/>
              </w:rPr>
            </w:pPr>
          </w:p>
        </w:tc>
        <w:tc>
          <w:tcPr>
            <w:tcW w:w="806" w:type="dxa"/>
            <w:vMerge w:val="continue"/>
            <w:vAlign w:val="center"/>
          </w:tcPr>
          <w:p>
            <w:pPr>
              <w:widowControl/>
              <w:spacing w:line="240" w:lineRule="exact"/>
              <w:jc w:val="center"/>
              <w:rPr>
                <w:rFonts w:ascii="Times New Roman" w:hAnsi="Times New Roman" w:eastAsia="宋体"/>
                <w:kern w:val="0"/>
                <w:szCs w:val="21"/>
              </w:rPr>
            </w:pPr>
          </w:p>
        </w:tc>
        <w:tc>
          <w:tcPr>
            <w:tcW w:w="812" w:type="dxa"/>
            <w:vMerge w:val="continue"/>
            <w:vAlign w:val="center"/>
          </w:tcPr>
          <w:p>
            <w:pPr>
              <w:widowControl/>
              <w:spacing w:line="240" w:lineRule="exact"/>
              <w:jc w:val="center"/>
              <w:rPr>
                <w:rFonts w:ascii="Times New Roman" w:hAnsi="Times New Roman" w:eastAsia="宋体"/>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00" w:hRule="atLeast"/>
          <w:jc w:val="center"/>
        </w:trPr>
        <w:tc>
          <w:tcPr>
            <w:tcW w:w="1318"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200#基础油</w:t>
            </w:r>
          </w:p>
        </w:tc>
        <w:tc>
          <w:tcPr>
            <w:tcW w:w="636"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1000</w:t>
            </w:r>
          </w:p>
        </w:tc>
        <w:tc>
          <w:tcPr>
            <w:tcW w:w="631"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2</w:t>
            </w:r>
          </w:p>
        </w:tc>
        <w:tc>
          <w:tcPr>
            <w:tcW w:w="846" w:type="dxa"/>
            <w:vMerge w:val="continue"/>
            <w:vAlign w:val="center"/>
          </w:tcPr>
          <w:p>
            <w:pPr>
              <w:widowControl/>
              <w:spacing w:line="240" w:lineRule="exact"/>
              <w:jc w:val="center"/>
              <w:rPr>
                <w:rFonts w:ascii="Times New Roman" w:hAnsi="Times New Roman" w:eastAsia="宋体"/>
                <w:kern w:val="0"/>
                <w:szCs w:val="21"/>
              </w:rPr>
            </w:pPr>
          </w:p>
        </w:tc>
        <w:tc>
          <w:tcPr>
            <w:tcW w:w="1004" w:type="dxa"/>
            <w:vMerge w:val="continue"/>
            <w:vAlign w:val="center"/>
          </w:tcPr>
          <w:p>
            <w:pPr>
              <w:widowControl/>
              <w:spacing w:line="240" w:lineRule="exact"/>
              <w:jc w:val="center"/>
              <w:rPr>
                <w:rFonts w:ascii="Times New Roman" w:hAnsi="Times New Roman" w:eastAsia="宋体"/>
                <w:kern w:val="0"/>
                <w:szCs w:val="21"/>
              </w:rPr>
            </w:pPr>
          </w:p>
        </w:tc>
        <w:tc>
          <w:tcPr>
            <w:tcW w:w="847" w:type="dxa"/>
            <w:vMerge w:val="continue"/>
            <w:vAlign w:val="center"/>
          </w:tcPr>
          <w:p>
            <w:pPr>
              <w:widowControl/>
              <w:spacing w:line="240" w:lineRule="exact"/>
              <w:jc w:val="center"/>
              <w:rPr>
                <w:rFonts w:ascii="Times New Roman" w:hAnsi="Times New Roman" w:eastAsia="宋体"/>
                <w:kern w:val="0"/>
                <w:szCs w:val="21"/>
              </w:rPr>
            </w:pPr>
          </w:p>
        </w:tc>
        <w:tc>
          <w:tcPr>
            <w:tcW w:w="711" w:type="dxa"/>
            <w:vMerge w:val="continue"/>
            <w:vAlign w:val="center"/>
          </w:tcPr>
          <w:p>
            <w:pPr>
              <w:widowControl/>
              <w:spacing w:line="240" w:lineRule="exact"/>
              <w:jc w:val="center"/>
              <w:rPr>
                <w:rFonts w:ascii="Times New Roman" w:hAnsi="Times New Roman" w:eastAsia="宋体"/>
                <w:kern w:val="0"/>
                <w:szCs w:val="21"/>
              </w:rPr>
            </w:pPr>
          </w:p>
        </w:tc>
        <w:tc>
          <w:tcPr>
            <w:tcW w:w="689" w:type="dxa"/>
            <w:vMerge w:val="continue"/>
            <w:vAlign w:val="center"/>
          </w:tcPr>
          <w:p>
            <w:pPr>
              <w:widowControl/>
              <w:spacing w:line="240" w:lineRule="exact"/>
              <w:jc w:val="center"/>
              <w:rPr>
                <w:rFonts w:ascii="Times New Roman" w:hAnsi="Times New Roman" w:eastAsia="宋体"/>
                <w:kern w:val="0"/>
                <w:szCs w:val="21"/>
              </w:rPr>
            </w:pPr>
          </w:p>
        </w:tc>
        <w:tc>
          <w:tcPr>
            <w:tcW w:w="806" w:type="dxa"/>
            <w:vMerge w:val="continue"/>
            <w:vAlign w:val="center"/>
          </w:tcPr>
          <w:p>
            <w:pPr>
              <w:widowControl/>
              <w:spacing w:line="240" w:lineRule="exact"/>
              <w:jc w:val="center"/>
              <w:rPr>
                <w:rFonts w:ascii="Times New Roman" w:hAnsi="Times New Roman" w:eastAsia="宋体"/>
                <w:kern w:val="0"/>
                <w:szCs w:val="21"/>
              </w:rPr>
            </w:pPr>
          </w:p>
        </w:tc>
        <w:tc>
          <w:tcPr>
            <w:tcW w:w="812" w:type="dxa"/>
            <w:vMerge w:val="continue"/>
            <w:vAlign w:val="center"/>
          </w:tcPr>
          <w:p>
            <w:pPr>
              <w:widowControl/>
              <w:spacing w:line="240" w:lineRule="exact"/>
              <w:jc w:val="center"/>
              <w:rPr>
                <w:rFonts w:ascii="Times New Roman" w:hAnsi="Times New Roman" w:eastAsia="宋体"/>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00" w:hRule="atLeast"/>
          <w:jc w:val="center"/>
        </w:trPr>
        <w:tc>
          <w:tcPr>
            <w:tcW w:w="1318"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汽油</w:t>
            </w:r>
          </w:p>
        </w:tc>
        <w:tc>
          <w:tcPr>
            <w:tcW w:w="636"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300</w:t>
            </w:r>
          </w:p>
        </w:tc>
        <w:tc>
          <w:tcPr>
            <w:tcW w:w="631"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2</w:t>
            </w:r>
          </w:p>
        </w:tc>
        <w:tc>
          <w:tcPr>
            <w:tcW w:w="846" w:type="dxa"/>
            <w:vMerge w:val="restart"/>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2</w:t>
            </w:r>
            <w:r>
              <w:rPr>
                <w:rFonts w:ascii="Times New Roman" w:hAnsi="Times New Roman" w:eastAsia="宋体"/>
                <w:kern w:val="0"/>
                <w:szCs w:val="21"/>
              </w:rPr>
              <w:t>2000</w:t>
            </w:r>
          </w:p>
        </w:tc>
        <w:tc>
          <w:tcPr>
            <w:tcW w:w="1004" w:type="dxa"/>
            <w:vMerge w:val="restart"/>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28571.43</w:t>
            </w:r>
          </w:p>
        </w:tc>
        <w:tc>
          <w:tcPr>
            <w:tcW w:w="847" w:type="dxa"/>
            <w:vMerge w:val="restart"/>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12.99</w:t>
            </w:r>
          </w:p>
        </w:tc>
        <w:tc>
          <w:tcPr>
            <w:tcW w:w="711" w:type="dxa"/>
            <w:vMerge w:val="restart"/>
            <w:vAlign w:val="center"/>
          </w:tcPr>
          <w:p>
            <w:pPr>
              <w:widowControl/>
              <w:spacing w:line="240" w:lineRule="exact"/>
              <w:rPr>
                <w:rFonts w:ascii="Times New Roman" w:hAnsi="Times New Roman" w:eastAsia="宋体"/>
                <w:kern w:val="0"/>
                <w:szCs w:val="21"/>
              </w:rPr>
            </w:pPr>
            <w:r>
              <w:rPr>
                <w:rFonts w:hint="eastAsia" w:ascii="Times New Roman" w:hAnsi="Times New Roman" w:eastAsia="宋体"/>
                <w:kern w:val="0"/>
                <w:szCs w:val="21"/>
              </w:rPr>
              <w:t>0.015</w:t>
            </w:r>
          </w:p>
        </w:tc>
        <w:tc>
          <w:tcPr>
            <w:tcW w:w="689" w:type="dxa"/>
            <w:vMerge w:val="restart"/>
            <w:vAlign w:val="center"/>
          </w:tcPr>
          <w:p>
            <w:pPr>
              <w:widowControl/>
              <w:spacing w:line="240" w:lineRule="exact"/>
              <w:rPr>
                <w:rFonts w:ascii="Times New Roman" w:hAnsi="Times New Roman" w:eastAsia="宋体"/>
                <w:kern w:val="0"/>
                <w:szCs w:val="21"/>
              </w:rPr>
            </w:pPr>
            <w:r>
              <w:rPr>
                <w:rFonts w:hint="eastAsia" w:ascii="Times New Roman" w:hAnsi="Times New Roman" w:eastAsia="宋体"/>
                <w:kern w:val="0"/>
                <w:szCs w:val="21"/>
              </w:rPr>
              <w:t>0.857</w:t>
            </w:r>
          </w:p>
        </w:tc>
        <w:tc>
          <w:tcPr>
            <w:tcW w:w="806" w:type="dxa"/>
            <w:vMerge w:val="restart"/>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0</w:t>
            </w:r>
            <w:r>
              <w:rPr>
                <w:rFonts w:ascii="Times New Roman" w:hAnsi="Times New Roman" w:eastAsia="宋体"/>
                <w:kern w:val="0"/>
                <w:szCs w:val="21"/>
              </w:rPr>
              <w:t>.1</w:t>
            </w:r>
          </w:p>
        </w:tc>
        <w:tc>
          <w:tcPr>
            <w:tcW w:w="812" w:type="dxa"/>
            <w:vMerge w:val="restart"/>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0</w:t>
            </w:r>
            <w:r>
              <w:rPr>
                <w:rFonts w:ascii="Times New Roman" w:hAnsi="Times New Roman" w:eastAsia="宋体"/>
                <w:kern w:val="0"/>
                <w:szCs w:val="21"/>
              </w:rPr>
              <w:t>.012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00" w:hRule="atLeast"/>
          <w:jc w:val="center"/>
        </w:trPr>
        <w:tc>
          <w:tcPr>
            <w:tcW w:w="1318"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szCs w:val="21"/>
              </w:rPr>
              <w:t>柴油</w:t>
            </w:r>
          </w:p>
        </w:tc>
        <w:tc>
          <w:tcPr>
            <w:tcW w:w="636"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300</w:t>
            </w:r>
          </w:p>
        </w:tc>
        <w:tc>
          <w:tcPr>
            <w:tcW w:w="631"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2</w:t>
            </w:r>
          </w:p>
        </w:tc>
        <w:tc>
          <w:tcPr>
            <w:tcW w:w="846" w:type="dxa"/>
            <w:vMerge w:val="continue"/>
            <w:vAlign w:val="center"/>
          </w:tcPr>
          <w:p>
            <w:pPr>
              <w:widowControl/>
              <w:spacing w:line="240" w:lineRule="exact"/>
              <w:jc w:val="center"/>
              <w:rPr>
                <w:rFonts w:ascii="Times New Roman" w:hAnsi="Times New Roman" w:eastAsia="宋体"/>
                <w:kern w:val="0"/>
                <w:szCs w:val="21"/>
              </w:rPr>
            </w:pPr>
          </w:p>
        </w:tc>
        <w:tc>
          <w:tcPr>
            <w:tcW w:w="1004" w:type="dxa"/>
            <w:vMerge w:val="continue"/>
            <w:vAlign w:val="center"/>
          </w:tcPr>
          <w:p>
            <w:pPr>
              <w:widowControl/>
              <w:spacing w:line="240" w:lineRule="exact"/>
              <w:jc w:val="center"/>
              <w:rPr>
                <w:rFonts w:ascii="Times New Roman" w:hAnsi="Times New Roman" w:eastAsia="宋体"/>
                <w:kern w:val="0"/>
                <w:szCs w:val="21"/>
              </w:rPr>
            </w:pPr>
          </w:p>
        </w:tc>
        <w:tc>
          <w:tcPr>
            <w:tcW w:w="847" w:type="dxa"/>
            <w:vMerge w:val="continue"/>
            <w:vAlign w:val="center"/>
          </w:tcPr>
          <w:p>
            <w:pPr>
              <w:widowControl/>
              <w:spacing w:line="240" w:lineRule="exact"/>
              <w:jc w:val="center"/>
              <w:rPr>
                <w:rFonts w:ascii="Times New Roman" w:hAnsi="Times New Roman" w:eastAsia="宋体"/>
                <w:kern w:val="0"/>
                <w:szCs w:val="21"/>
              </w:rPr>
            </w:pPr>
          </w:p>
        </w:tc>
        <w:tc>
          <w:tcPr>
            <w:tcW w:w="711" w:type="dxa"/>
            <w:vMerge w:val="continue"/>
            <w:vAlign w:val="center"/>
          </w:tcPr>
          <w:p>
            <w:pPr>
              <w:widowControl/>
              <w:spacing w:line="240" w:lineRule="exact"/>
              <w:jc w:val="center"/>
              <w:rPr>
                <w:rFonts w:ascii="Times New Roman" w:hAnsi="Times New Roman" w:eastAsia="宋体"/>
                <w:kern w:val="0"/>
                <w:szCs w:val="21"/>
              </w:rPr>
            </w:pPr>
          </w:p>
        </w:tc>
        <w:tc>
          <w:tcPr>
            <w:tcW w:w="689" w:type="dxa"/>
            <w:vMerge w:val="continue"/>
            <w:vAlign w:val="center"/>
          </w:tcPr>
          <w:p>
            <w:pPr>
              <w:widowControl/>
              <w:spacing w:line="240" w:lineRule="exact"/>
              <w:jc w:val="center"/>
              <w:rPr>
                <w:rFonts w:ascii="Times New Roman" w:hAnsi="Times New Roman" w:eastAsia="宋体"/>
                <w:kern w:val="0"/>
                <w:szCs w:val="21"/>
              </w:rPr>
            </w:pPr>
          </w:p>
        </w:tc>
        <w:tc>
          <w:tcPr>
            <w:tcW w:w="806" w:type="dxa"/>
            <w:vMerge w:val="continue"/>
            <w:vAlign w:val="center"/>
          </w:tcPr>
          <w:p>
            <w:pPr>
              <w:widowControl/>
              <w:spacing w:line="240" w:lineRule="exact"/>
              <w:jc w:val="center"/>
              <w:rPr>
                <w:rFonts w:ascii="Times New Roman" w:hAnsi="Times New Roman" w:eastAsia="宋体"/>
                <w:kern w:val="0"/>
                <w:szCs w:val="21"/>
              </w:rPr>
            </w:pPr>
          </w:p>
        </w:tc>
        <w:tc>
          <w:tcPr>
            <w:tcW w:w="812" w:type="dxa"/>
            <w:vMerge w:val="continue"/>
            <w:vAlign w:val="center"/>
          </w:tcPr>
          <w:p>
            <w:pPr>
              <w:widowControl/>
              <w:spacing w:line="240" w:lineRule="exact"/>
              <w:jc w:val="center"/>
              <w:rPr>
                <w:rFonts w:ascii="Times New Roman" w:hAnsi="Times New Roman" w:eastAsia="宋体"/>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00" w:hRule="atLeast"/>
          <w:jc w:val="center"/>
        </w:trPr>
        <w:tc>
          <w:tcPr>
            <w:tcW w:w="1318"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szCs w:val="21"/>
              </w:rPr>
              <w:t>燃料油</w:t>
            </w:r>
          </w:p>
        </w:tc>
        <w:tc>
          <w:tcPr>
            <w:tcW w:w="636"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10</w:t>
            </w:r>
            <w:r>
              <w:rPr>
                <w:rFonts w:ascii="Times New Roman" w:hAnsi="Times New Roman" w:eastAsia="宋体"/>
                <w:kern w:val="0"/>
                <w:szCs w:val="21"/>
              </w:rPr>
              <w:t>00</w:t>
            </w:r>
          </w:p>
        </w:tc>
        <w:tc>
          <w:tcPr>
            <w:tcW w:w="631"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2</w:t>
            </w:r>
          </w:p>
        </w:tc>
        <w:tc>
          <w:tcPr>
            <w:tcW w:w="846" w:type="dxa"/>
            <w:vMerge w:val="continue"/>
            <w:vAlign w:val="center"/>
          </w:tcPr>
          <w:p>
            <w:pPr>
              <w:widowControl/>
              <w:spacing w:line="240" w:lineRule="exact"/>
              <w:jc w:val="center"/>
              <w:rPr>
                <w:rFonts w:ascii="Times New Roman" w:hAnsi="Times New Roman" w:eastAsia="宋体"/>
                <w:kern w:val="0"/>
                <w:szCs w:val="21"/>
              </w:rPr>
            </w:pPr>
          </w:p>
        </w:tc>
        <w:tc>
          <w:tcPr>
            <w:tcW w:w="1004" w:type="dxa"/>
            <w:vMerge w:val="continue"/>
            <w:vAlign w:val="center"/>
          </w:tcPr>
          <w:p>
            <w:pPr>
              <w:widowControl/>
              <w:spacing w:line="240" w:lineRule="exact"/>
              <w:jc w:val="center"/>
              <w:rPr>
                <w:rFonts w:ascii="Times New Roman" w:hAnsi="Times New Roman" w:eastAsia="宋体"/>
                <w:kern w:val="0"/>
                <w:szCs w:val="21"/>
              </w:rPr>
            </w:pPr>
          </w:p>
        </w:tc>
        <w:tc>
          <w:tcPr>
            <w:tcW w:w="847" w:type="dxa"/>
            <w:vMerge w:val="continue"/>
            <w:vAlign w:val="center"/>
          </w:tcPr>
          <w:p>
            <w:pPr>
              <w:widowControl/>
              <w:spacing w:line="240" w:lineRule="exact"/>
              <w:jc w:val="center"/>
              <w:rPr>
                <w:rFonts w:ascii="Times New Roman" w:hAnsi="Times New Roman" w:eastAsia="宋体"/>
                <w:kern w:val="0"/>
                <w:szCs w:val="21"/>
              </w:rPr>
            </w:pPr>
          </w:p>
        </w:tc>
        <w:tc>
          <w:tcPr>
            <w:tcW w:w="711" w:type="dxa"/>
            <w:vMerge w:val="restart"/>
            <w:vAlign w:val="center"/>
          </w:tcPr>
          <w:p>
            <w:pPr>
              <w:spacing w:line="240" w:lineRule="exact"/>
              <w:jc w:val="center"/>
              <w:rPr>
                <w:rFonts w:ascii="Times New Roman" w:hAnsi="Times New Roman" w:eastAsia="宋体"/>
                <w:kern w:val="0"/>
                <w:szCs w:val="21"/>
              </w:rPr>
            </w:pPr>
            <w:r>
              <w:rPr>
                <w:rFonts w:hint="eastAsia" w:ascii="Times New Roman" w:hAnsi="Times New Roman" w:eastAsia="宋体"/>
                <w:kern w:val="0"/>
                <w:szCs w:val="21"/>
              </w:rPr>
              <w:t>0.045</w:t>
            </w:r>
          </w:p>
        </w:tc>
        <w:tc>
          <w:tcPr>
            <w:tcW w:w="689" w:type="dxa"/>
            <w:vMerge w:val="continue"/>
            <w:vAlign w:val="center"/>
          </w:tcPr>
          <w:p>
            <w:pPr>
              <w:widowControl/>
              <w:spacing w:line="240" w:lineRule="exact"/>
              <w:jc w:val="center"/>
              <w:rPr>
                <w:rFonts w:ascii="Times New Roman" w:hAnsi="Times New Roman" w:eastAsia="宋体"/>
                <w:kern w:val="0"/>
                <w:szCs w:val="21"/>
              </w:rPr>
            </w:pPr>
          </w:p>
        </w:tc>
        <w:tc>
          <w:tcPr>
            <w:tcW w:w="806" w:type="dxa"/>
            <w:vMerge w:val="continue"/>
            <w:vAlign w:val="center"/>
          </w:tcPr>
          <w:p>
            <w:pPr>
              <w:widowControl/>
              <w:spacing w:line="240" w:lineRule="exact"/>
              <w:jc w:val="center"/>
              <w:rPr>
                <w:rFonts w:ascii="Times New Roman" w:hAnsi="Times New Roman" w:eastAsia="宋体"/>
                <w:kern w:val="0"/>
                <w:szCs w:val="21"/>
              </w:rPr>
            </w:pPr>
          </w:p>
        </w:tc>
        <w:tc>
          <w:tcPr>
            <w:tcW w:w="812" w:type="dxa"/>
            <w:vMerge w:val="continue"/>
            <w:vAlign w:val="center"/>
          </w:tcPr>
          <w:p>
            <w:pPr>
              <w:widowControl/>
              <w:spacing w:line="240" w:lineRule="exact"/>
              <w:jc w:val="center"/>
              <w:rPr>
                <w:rFonts w:ascii="Times New Roman" w:hAnsi="Times New Roman" w:eastAsia="宋体"/>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00" w:hRule="atLeast"/>
          <w:jc w:val="center"/>
        </w:trPr>
        <w:tc>
          <w:tcPr>
            <w:tcW w:w="1318"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szCs w:val="21"/>
              </w:rPr>
              <w:t>沥青</w:t>
            </w:r>
          </w:p>
        </w:tc>
        <w:tc>
          <w:tcPr>
            <w:tcW w:w="636"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1</w:t>
            </w:r>
            <w:r>
              <w:rPr>
                <w:rFonts w:ascii="Times New Roman" w:hAnsi="Times New Roman" w:eastAsia="宋体"/>
                <w:kern w:val="0"/>
                <w:szCs w:val="21"/>
              </w:rPr>
              <w:t>000</w:t>
            </w:r>
          </w:p>
        </w:tc>
        <w:tc>
          <w:tcPr>
            <w:tcW w:w="631"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2</w:t>
            </w:r>
          </w:p>
        </w:tc>
        <w:tc>
          <w:tcPr>
            <w:tcW w:w="846" w:type="dxa"/>
            <w:vMerge w:val="continue"/>
            <w:vAlign w:val="center"/>
          </w:tcPr>
          <w:p>
            <w:pPr>
              <w:widowControl/>
              <w:spacing w:line="240" w:lineRule="exact"/>
              <w:jc w:val="center"/>
              <w:rPr>
                <w:rFonts w:ascii="Times New Roman" w:hAnsi="Times New Roman" w:eastAsia="宋体"/>
                <w:kern w:val="0"/>
                <w:szCs w:val="21"/>
              </w:rPr>
            </w:pPr>
          </w:p>
        </w:tc>
        <w:tc>
          <w:tcPr>
            <w:tcW w:w="1004" w:type="dxa"/>
            <w:vMerge w:val="continue"/>
            <w:vAlign w:val="center"/>
          </w:tcPr>
          <w:p>
            <w:pPr>
              <w:widowControl/>
              <w:spacing w:line="240" w:lineRule="exact"/>
              <w:jc w:val="center"/>
              <w:rPr>
                <w:rFonts w:ascii="Times New Roman" w:hAnsi="Times New Roman" w:eastAsia="宋体"/>
                <w:kern w:val="0"/>
                <w:szCs w:val="21"/>
              </w:rPr>
            </w:pPr>
          </w:p>
        </w:tc>
        <w:tc>
          <w:tcPr>
            <w:tcW w:w="847" w:type="dxa"/>
            <w:vMerge w:val="continue"/>
            <w:vAlign w:val="center"/>
          </w:tcPr>
          <w:p>
            <w:pPr>
              <w:widowControl/>
              <w:spacing w:line="240" w:lineRule="exact"/>
              <w:jc w:val="center"/>
              <w:rPr>
                <w:rFonts w:ascii="Times New Roman" w:hAnsi="Times New Roman" w:eastAsia="宋体"/>
                <w:kern w:val="0"/>
                <w:szCs w:val="21"/>
              </w:rPr>
            </w:pPr>
          </w:p>
        </w:tc>
        <w:tc>
          <w:tcPr>
            <w:tcW w:w="711" w:type="dxa"/>
            <w:vMerge w:val="continue"/>
            <w:vAlign w:val="center"/>
          </w:tcPr>
          <w:p>
            <w:pPr>
              <w:widowControl/>
              <w:spacing w:line="240" w:lineRule="exact"/>
              <w:jc w:val="center"/>
              <w:rPr>
                <w:rFonts w:ascii="Times New Roman" w:hAnsi="Times New Roman" w:eastAsia="宋体"/>
                <w:kern w:val="0"/>
                <w:szCs w:val="21"/>
              </w:rPr>
            </w:pPr>
          </w:p>
        </w:tc>
        <w:tc>
          <w:tcPr>
            <w:tcW w:w="689" w:type="dxa"/>
            <w:vMerge w:val="continue"/>
            <w:vAlign w:val="center"/>
          </w:tcPr>
          <w:p>
            <w:pPr>
              <w:widowControl/>
              <w:spacing w:line="240" w:lineRule="exact"/>
              <w:jc w:val="center"/>
              <w:rPr>
                <w:rFonts w:ascii="Times New Roman" w:hAnsi="Times New Roman" w:eastAsia="宋体"/>
                <w:kern w:val="0"/>
                <w:szCs w:val="21"/>
              </w:rPr>
            </w:pPr>
          </w:p>
        </w:tc>
        <w:tc>
          <w:tcPr>
            <w:tcW w:w="806" w:type="dxa"/>
            <w:vMerge w:val="continue"/>
            <w:vAlign w:val="center"/>
          </w:tcPr>
          <w:p>
            <w:pPr>
              <w:widowControl/>
              <w:spacing w:line="240" w:lineRule="exact"/>
              <w:jc w:val="center"/>
              <w:rPr>
                <w:rFonts w:ascii="Times New Roman" w:hAnsi="Times New Roman" w:eastAsia="宋体"/>
                <w:kern w:val="0"/>
                <w:szCs w:val="21"/>
              </w:rPr>
            </w:pPr>
          </w:p>
        </w:tc>
        <w:tc>
          <w:tcPr>
            <w:tcW w:w="812" w:type="dxa"/>
            <w:vMerge w:val="continue"/>
            <w:vAlign w:val="center"/>
          </w:tcPr>
          <w:p>
            <w:pPr>
              <w:widowControl/>
              <w:spacing w:line="240" w:lineRule="exact"/>
              <w:jc w:val="center"/>
              <w:rPr>
                <w:rFonts w:ascii="Times New Roman" w:hAnsi="Times New Roman" w:eastAsia="宋体"/>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00" w:hRule="atLeast"/>
          <w:jc w:val="center"/>
        </w:trPr>
        <w:tc>
          <w:tcPr>
            <w:tcW w:w="1318"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合计</w:t>
            </w:r>
          </w:p>
        </w:tc>
        <w:tc>
          <w:tcPr>
            <w:tcW w:w="636" w:type="dxa"/>
            <w:vAlign w:val="center"/>
          </w:tcPr>
          <w:p>
            <w:pPr>
              <w:spacing w:line="240" w:lineRule="exact"/>
              <w:jc w:val="center"/>
              <w:rPr>
                <w:rFonts w:ascii="Times New Roman" w:hAnsi="Times New Roman" w:eastAsia="宋体"/>
                <w:kern w:val="0"/>
                <w:szCs w:val="21"/>
              </w:rPr>
            </w:pPr>
            <w:r>
              <w:rPr>
                <w:rFonts w:hint="eastAsia" w:ascii="Times New Roman" w:hAnsi="Times New Roman" w:eastAsia="宋体"/>
                <w:kern w:val="0"/>
                <w:szCs w:val="21"/>
              </w:rPr>
              <w:t>/</w:t>
            </w:r>
          </w:p>
        </w:tc>
        <w:tc>
          <w:tcPr>
            <w:tcW w:w="631" w:type="dxa"/>
            <w:vAlign w:val="center"/>
          </w:tcPr>
          <w:p>
            <w:pPr>
              <w:spacing w:line="240" w:lineRule="exact"/>
              <w:jc w:val="center"/>
              <w:rPr>
                <w:rFonts w:ascii="Times New Roman" w:hAnsi="Times New Roman" w:eastAsia="宋体"/>
                <w:kern w:val="0"/>
                <w:szCs w:val="21"/>
              </w:rPr>
            </w:pPr>
            <w:r>
              <w:rPr>
                <w:rFonts w:hint="eastAsia" w:ascii="Times New Roman" w:hAnsi="Times New Roman" w:eastAsia="宋体"/>
                <w:kern w:val="0"/>
                <w:szCs w:val="21"/>
              </w:rPr>
              <w:t>/</w:t>
            </w:r>
          </w:p>
        </w:tc>
        <w:tc>
          <w:tcPr>
            <w:tcW w:w="846" w:type="dxa"/>
            <w:vAlign w:val="center"/>
          </w:tcPr>
          <w:p>
            <w:pPr>
              <w:spacing w:line="240" w:lineRule="exact"/>
              <w:jc w:val="center"/>
              <w:rPr>
                <w:rFonts w:ascii="Times New Roman" w:hAnsi="Times New Roman" w:eastAsia="宋体"/>
                <w:kern w:val="0"/>
                <w:szCs w:val="21"/>
              </w:rPr>
            </w:pPr>
            <w:r>
              <w:rPr>
                <w:rFonts w:hint="eastAsia" w:ascii="Times New Roman" w:hAnsi="Times New Roman" w:eastAsia="宋体"/>
                <w:kern w:val="0"/>
                <w:szCs w:val="21"/>
              </w:rPr>
              <w:t>/</w:t>
            </w:r>
          </w:p>
        </w:tc>
        <w:tc>
          <w:tcPr>
            <w:tcW w:w="1004" w:type="dxa"/>
            <w:vAlign w:val="center"/>
          </w:tcPr>
          <w:p>
            <w:pPr>
              <w:spacing w:line="240" w:lineRule="exact"/>
              <w:jc w:val="center"/>
              <w:rPr>
                <w:rFonts w:ascii="Times New Roman" w:hAnsi="Times New Roman" w:eastAsia="宋体"/>
                <w:kern w:val="0"/>
                <w:szCs w:val="21"/>
              </w:rPr>
            </w:pPr>
            <w:r>
              <w:rPr>
                <w:rFonts w:hint="eastAsia" w:ascii="Times New Roman" w:hAnsi="Times New Roman" w:eastAsia="宋体"/>
                <w:kern w:val="0"/>
                <w:szCs w:val="21"/>
              </w:rPr>
              <w:t>/</w:t>
            </w:r>
          </w:p>
        </w:tc>
        <w:tc>
          <w:tcPr>
            <w:tcW w:w="847" w:type="dxa"/>
            <w:vAlign w:val="center"/>
          </w:tcPr>
          <w:p>
            <w:pPr>
              <w:spacing w:line="240" w:lineRule="exact"/>
              <w:jc w:val="center"/>
              <w:rPr>
                <w:rFonts w:ascii="Times New Roman" w:hAnsi="Times New Roman" w:eastAsia="宋体"/>
                <w:kern w:val="0"/>
                <w:szCs w:val="21"/>
              </w:rPr>
            </w:pPr>
            <w:r>
              <w:rPr>
                <w:rFonts w:hint="eastAsia" w:ascii="Times New Roman" w:hAnsi="Times New Roman" w:eastAsia="宋体"/>
                <w:kern w:val="0"/>
                <w:szCs w:val="21"/>
              </w:rPr>
              <w:t>/</w:t>
            </w:r>
          </w:p>
        </w:tc>
        <w:tc>
          <w:tcPr>
            <w:tcW w:w="711"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w:t>
            </w:r>
          </w:p>
        </w:tc>
        <w:tc>
          <w:tcPr>
            <w:tcW w:w="689"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8</w:t>
            </w:r>
            <w:r>
              <w:rPr>
                <w:rFonts w:hint="eastAsia" w:ascii="Times New Roman" w:hAnsi="Times New Roman" w:eastAsia="宋体"/>
                <w:kern w:val="0"/>
                <w:szCs w:val="21"/>
              </w:rPr>
              <w:t>.209</w:t>
            </w:r>
          </w:p>
        </w:tc>
        <w:tc>
          <w:tcPr>
            <w:tcW w:w="806"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1.2</w:t>
            </w:r>
          </w:p>
        </w:tc>
        <w:tc>
          <w:tcPr>
            <w:tcW w:w="812"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0.150</w:t>
            </w:r>
          </w:p>
        </w:tc>
      </w:tr>
    </w:tbl>
    <w:p>
      <w:pPr>
        <w:spacing w:line="480" w:lineRule="exact"/>
        <w:ind w:firstLine="468" w:firstLineChars="200"/>
        <w:rPr>
          <w:rFonts w:ascii="Times New Roman" w:hAnsi="Times New Roman" w:eastAsia="宋体"/>
          <w:spacing w:val="-3"/>
          <w:sz w:val="24"/>
          <w:szCs w:val="24"/>
        </w:rPr>
      </w:pPr>
      <w:r>
        <w:rPr>
          <w:rFonts w:ascii="Times New Roman" w:hAnsi="Times New Roman" w:eastAsia="宋体"/>
          <w:spacing w:val="-3"/>
          <w:sz w:val="24"/>
          <w:szCs w:val="24"/>
        </w:rPr>
        <w:t>B、小呼吸</w:t>
      </w:r>
    </w:p>
    <w:p>
      <w:pPr>
        <w:pStyle w:val="7"/>
        <w:spacing w:line="480" w:lineRule="exact"/>
        <w:ind w:firstLine="468" w:firstLineChars="200"/>
        <w:jc w:val="both"/>
        <w:rPr>
          <w:rFonts w:ascii="Times New Roman" w:hAnsi="Times New Roman"/>
          <w:lang w:eastAsia="zh-CN"/>
        </w:rPr>
      </w:pPr>
      <w:r>
        <w:rPr>
          <w:rFonts w:ascii="Times New Roman" w:hAnsi="Times New Roman"/>
          <w:spacing w:val="-3"/>
          <w:lang w:eastAsia="zh-CN"/>
        </w:rPr>
        <w:t>静止储存的油品，白天受太阳辐射使温度升高，引起上部空间气体膨胀和油面蒸发加剧，罐内压力随之升高，当压力达到呼吸阀允许值时，油蒸气就逸出罐外造成损耗。夜晚气温下降使罐内气体收缩，油气凝结，罐内压力随之下降，当压力降到呼吸阀允许值时，空气进入罐内，使气体空间的油气浓度减低，又为温</w:t>
      </w:r>
      <w:r>
        <w:rPr>
          <w:rFonts w:ascii="Times New Roman" w:hAnsi="Times New Roman"/>
          <w:lang w:eastAsia="zh-CN"/>
        </w:rPr>
        <w:t>度升高后油气蒸发创造了条件。如此往复循环，就形成了油罐的小呼吸损失。</w:t>
      </w:r>
    </w:p>
    <w:p>
      <w:pPr>
        <w:spacing w:line="480" w:lineRule="exact"/>
        <w:ind w:firstLine="468" w:firstLineChars="200"/>
        <w:rPr>
          <w:rFonts w:ascii="Times New Roman" w:hAnsi="Times New Roman" w:eastAsia="宋体"/>
          <w:spacing w:val="-3"/>
          <w:sz w:val="24"/>
          <w:szCs w:val="24"/>
        </w:rPr>
      </w:pPr>
      <w:r>
        <w:rPr>
          <w:rFonts w:ascii="Times New Roman" w:hAnsi="Times New Roman" w:eastAsia="宋体"/>
          <w:spacing w:val="-3"/>
          <w:sz w:val="24"/>
          <w:szCs w:val="24"/>
        </w:rPr>
        <w:t>固定顶储罐</w:t>
      </w:r>
      <w:r>
        <w:rPr>
          <w:rFonts w:hint="eastAsia" w:ascii="Times New Roman" w:hAnsi="Times New Roman" w:eastAsia="宋体"/>
          <w:spacing w:val="-3"/>
          <w:sz w:val="24"/>
          <w:szCs w:val="24"/>
        </w:rPr>
        <w:t>“</w:t>
      </w:r>
      <w:r>
        <w:rPr>
          <w:rFonts w:ascii="Times New Roman" w:hAnsi="Times New Roman" w:eastAsia="宋体"/>
          <w:spacing w:val="-3"/>
          <w:sz w:val="24"/>
          <w:szCs w:val="24"/>
        </w:rPr>
        <w:t>小呼吸</w:t>
      </w:r>
      <w:r>
        <w:rPr>
          <w:rFonts w:hint="eastAsia" w:ascii="Times New Roman" w:hAnsi="Times New Roman" w:eastAsia="宋体"/>
          <w:spacing w:val="-3"/>
          <w:sz w:val="24"/>
          <w:szCs w:val="24"/>
        </w:rPr>
        <w:t>”</w:t>
      </w:r>
      <w:r>
        <w:rPr>
          <w:rFonts w:ascii="Times New Roman" w:hAnsi="Times New Roman" w:eastAsia="宋体"/>
          <w:spacing w:val="-3"/>
          <w:sz w:val="24"/>
          <w:szCs w:val="24"/>
        </w:rPr>
        <w:t>损耗量可按下列公式计算：</w:t>
      </w:r>
    </w:p>
    <w:p>
      <w:pPr>
        <w:tabs>
          <w:tab w:val="left" w:pos="140"/>
        </w:tabs>
        <w:jc w:val="center"/>
        <w:rPr>
          <w:rFonts w:ascii="Times New Roman" w:hAnsi="Times New Roman" w:eastAsia="宋体"/>
          <w:sz w:val="24"/>
          <w:szCs w:val="24"/>
        </w:rPr>
      </w:pPr>
      <w:r>
        <w:rPr>
          <w:rFonts w:ascii="Times New Roman" w:hAnsi="Times New Roman"/>
        </w:rPr>
        <w:drawing>
          <wp:inline distT="0" distB="0" distL="0" distR="0">
            <wp:extent cx="3984625" cy="554355"/>
            <wp:effectExtent l="0" t="0" r="0" b="0"/>
            <wp:docPr id="3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85200" cy="554400"/>
                    </a:xfrm>
                    <a:prstGeom prst="rect">
                      <a:avLst/>
                    </a:prstGeom>
                    <a:noFill/>
                    <a:ln w="9525">
                      <a:noFill/>
                    </a:ln>
                  </pic:spPr>
                </pic:pic>
              </a:graphicData>
            </a:graphic>
          </wp:inline>
        </w:drawing>
      </w:r>
    </w:p>
    <w:p>
      <w:pPr>
        <w:spacing w:line="480" w:lineRule="exact"/>
        <w:rPr>
          <w:rFonts w:ascii="Times New Roman" w:hAnsi="Times New Roman" w:eastAsia="宋体"/>
          <w:spacing w:val="-3"/>
          <w:sz w:val="24"/>
          <w:szCs w:val="24"/>
        </w:rPr>
      </w:pPr>
      <w:r>
        <w:rPr>
          <w:rFonts w:ascii="Times New Roman" w:hAnsi="Times New Roman" w:eastAsia="宋体"/>
          <w:spacing w:val="-3"/>
          <w:sz w:val="24"/>
          <w:szCs w:val="24"/>
        </w:rPr>
        <w:t>式中：</w:t>
      </w:r>
    </w:p>
    <w:p>
      <w:pPr>
        <w:pStyle w:val="7"/>
        <w:spacing w:line="480" w:lineRule="exact"/>
        <w:ind w:firstLine="480" w:firstLineChars="200"/>
        <w:jc w:val="both"/>
        <w:rPr>
          <w:rFonts w:ascii="Times New Roman" w:hAnsi="Times New Roman" w:cs="Times New Roman"/>
          <w:lang w:eastAsia="zh-CN"/>
        </w:rPr>
      </w:pPr>
      <w:r>
        <w:rPr>
          <w:rFonts w:ascii="Times New Roman" w:hAnsi="Times New Roman" w:cs="Times New Roman"/>
          <w:lang w:eastAsia="zh-CN"/>
        </w:rPr>
        <w:t>L</w:t>
      </w:r>
      <w:r>
        <w:rPr>
          <w:rFonts w:ascii="Times New Roman" w:hAnsi="Times New Roman" w:cs="Times New Roman"/>
          <w:vertAlign w:val="subscript"/>
          <w:lang w:eastAsia="zh-CN"/>
        </w:rPr>
        <w:t>B</w:t>
      </w:r>
      <w:r>
        <w:rPr>
          <w:rFonts w:ascii="Times New Roman" w:hAnsi="Times New Roman" w:cs="Times New Roman"/>
          <w:lang w:eastAsia="zh-CN"/>
        </w:rPr>
        <w:t>—储罐小呼吸排放量，kg/a；</w:t>
      </w:r>
    </w:p>
    <w:p>
      <w:pPr>
        <w:pStyle w:val="7"/>
        <w:spacing w:line="480" w:lineRule="exact"/>
        <w:ind w:firstLine="480" w:firstLineChars="200"/>
        <w:jc w:val="both"/>
        <w:rPr>
          <w:rFonts w:ascii="Times New Roman" w:hAnsi="Times New Roman" w:cs="Times New Roman"/>
          <w:lang w:eastAsia="zh-CN"/>
        </w:rPr>
      </w:pPr>
      <w:r>
        <w:rPr>
          <w:rFonts w:ascii="Times New Roman" w:hAnsi="Times New Roman" w:cs="Times New Roman"/>
          <w:lang w:eastAsia="zh-CN"/>
        </w:rPr>
        <w:t>M—储罐内蒸气的分子量，柴油及燃料油近似取130；</w:t>
      </w:r>
    </w:p>
    <w:p>
      <w:pPr>
        <w:pStyle w:val="7"/>
        <w:spacing w:line="480" w:lineRule="exact"/>
        <w:ind w:firstLine="480" w:firstLineChars="200"/>
        <w:jc w:val="both"/>
        <w:rPr>
          <w:rFonts w:ascii="Times New Roman" w:hAnsi="Times New Roman" w:cs="Times New Roman"/>
          <w:lang w:eastAsia="zh-CN"/>
        </w:rPr>
      </w:pPr>
      <w:r>
        <w:rPr>
          <w:rFonts w:ascii="Times New Roman" w:hAnsi="Times New Roman" w:cs="Times New Roman"/>
          <w:lang w:eastAsia="zh-CN"/>
        </w:rPr>
        <w:t>P—在大量液体状态下，真实蒸气压力，Pa；柴油及燃料油近似取667 Pa；</w:t>
      </w:r>
    </w:p>
    <w:p>
      <w:pPr>
        <w:pStyle w:val="7"/>
        <w:spacing w:line="480" w:lineRule="exact"/>
        <w:ind w:firstLine="480" w:firstLineChars="200"/>
        <w:jc w:val="both"/>
        <w:rPr>
          <w:rFonts w:ascii="Times New Roman" w:hAnsi="Times New Roman" w:cs="Times New Roman"/>
          <w:lang w:eastAsia="zh-CN"/>
        </w:rPr>
      </w:pPr>
      <w:r>
        <w:rPr>
          <w:rFonts w:ascii="Times New Roman" w:hAnsi="Times New Roman" w:cs="Times New Roman"/>
          <w:lang w:eastAsia="zh-CN"/>
        </w:rPr>
        <w:t>D—储罐的直径，m；</w:t>
      </w:r>
    </w:p>
    <w:p>
      <w:pPr>
        <w:pStyle w:val="7"/>
        <w:spacing w:line="480" w:lineRule="exact"/>
        <w:ind w:firstLine="480" w:firstLineChars="200"/>
        <w:jc w:val="both"/>
        <w:rPr>
          <w:rFonts w:ascii="Times New Roman" w:hAnsi="Times New Roman" w:cs="Times New Roman"/>
          <w:lang w:eastAsia="zh-CN"/>
        </w:rPr>
      </w:pPr>
      <w:r>
        <w:rPr>
          <w:rFonts w:ascii="Times New Roman" w:hAnsi="Times New Roman" w:cs="Times New Roman"/>
          <w:lang w:eastAsia="zh-CN"/>
        </w:rPr>
        <w:t>H—平均蒸气空间高度，m，按平均充装率60%计算；</w:t>
      </w:r>
    </w:p>
    <w:p>
      <w:pPr>
        <w:pStyle w:val="7"/>
        <w:spacing w:line="480" w:lineRule="exact"/>
        <w:ind w:firstLine="480" w:firstLineChars="200"/>
        <w:jc w:val="both"/>
        <w:rPr>
          <w:rFonts w:ascii="Times New Roman" w:hAnsi="Times New Roman" w:cs="Times New Roman"/>
          <w:lang w:eastAsia="zh-CN"/>
        </w:rPr>
      </w:pPr>
      <w:r>
        <w:rPr>
          <w:rFonts w:ascii="Cambria Math" w:hAnsi="Cambria Math" w:cs="Cambria Math"/>
          <w:lang w:eastAsia="zh-CN"/>
        </w:rPr>
        <w:t>△</w:t>
      </w:r>
      <w:r>
        <w:rPr>
          <w:rFonts w:ascii="Times New Roman" w:hAnsi="Times New Roman" w:cs="Times New Roman"/>
          <w:lang w:eastAsia="zh-CN"/>
        </w:rPr>
        <w:t>T—一天之内的平均温差，</w:t>
      </w:r>
      <w:r>
        <w:rPr>
          <w:rFonts w:hint="eastAsia" w:cs="宋体"/>
          <w:lang w:eastAsia="zh-CN"/>
        </w:rPr>
        <w:t>℃</w:t>
      </w:r>
      <w:r>
        <w:rPr>
          <w:rFonts w:ascii="Times New Roman" w:hAnsi="Times New Roman" w:cs="Times New Roman"/>
          <w:lang w:eastAsia="zh-CN"/>
        </w:rPr>
        <w:t>；根据濮阳市多年气象统计资料，平均气温日均温差取最大值7.6</w:t>
      </w:r>
      <w:r>
        <w:rPr>
          <w:rFonts w:hint="eastAsia" w:cs="宋体"/>
          <w:lang w:eastAsia="zh-CN"/>
        </w:rPr>
        <w:t>℃</w:t>
      </w:r>
      <w:r>
        <w:rPr>
          <w:rFonts w:ascii="Times New Roman" w:hAnsi="Times New Roman" w:cs="Times New Roman"/>
          <w:lang w:eastAsia="zh-CN"/>
        </w:rPr>
        <w:t>。</w:t>
      </w:r>
    </w:p>
    <w:p>
      <w:pPr>
        <w:pStyle w:val="7"/>
        <w:spacing w:line="480" w:lineRule="exact"/>
        <w:ind w:firstLine="480" w:firstLineChars="200"/>
        <w:jc w:val="both"/>
        <w:rPr>
          <w:rFonts w:ascii="Times New Roman" w:hAnsi="Times New Roman" w:cs="Times New Roman"/>
          <w:lang w:eastAsia="zh-CN"/>
        </w:rPr>
      </w:pPr>
      <w:r>
        <w:rPr>
          <w:rFonts w:ascii="Times New Roman" w:hAnsi="Times New Roman" w:cs="Times New Roman"/>
          <w:lang w:eastAsia="zh-CN"/>
        </w:rPr>
        <w:t>Fp—涂层因子（无量纲），根据油漆状况取值在1-1.5之间，本项目取1.0；</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C—用于小直径罐的调节因子（无量纲）；</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直径在0-9m的罐体，C=1-0.0123（D-9）</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w:t>
      </w:r>
    </w:p>
    <w:p>
      <w:pPr>
        <w:pStyle w:val="7"/>
        <w:spacing w:line="480" w:lineRule="exact"/>
        <w:ind w:firstLine="480" w:firstLineChars="200"/>
        <w:jc w:val="both"/>
        <w:rPr>
          <w:rFonts w:ascii="Times New Roman" w:hAnsi="Times New Roman" w:cs="Times New Roman"/>
          <w:lang w:eastAsia="zh-CN"/>
        </w:rPr>
      </w:pPr>
      <w:r>
        <w:rPr>
          <w:rFonts w:ascii="Times New Roman" w:hAnsi="Times New Roman" w:cs="Times New Roman"/>
          <w:lang w:eastAsia="zh-CN"/>
        </w:rPr>
        <w:t>罐径大于9m 的罐体，C=1；</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Kc—产品因子，石油原油Kc取0.65，其他油品取1.0，本项目取1.0。</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内浮顶罐“小呼吸”损耗计算公式采用美国石油学会(API)公布适用于内浮顶油罐静止储存损耗(小呼吸)的公式：</w:t>
      </w:r>
    </w:p>
    <w:p>
      <w:pPr>
        <w:pStyle w:val="7"/>
        <w:spacing w:line="480" w:lineRule="exact"/>
        <w:jc w:val="center"/>
        <w:rPr>
          <w:rFonts w:ascii="Times New Roman" w:hAnsi="Times New Roman"/>
        </w:rPr>
      </w:pPr>
      <w:r>
        <w:rPr>
          <w:rFonts w:ascii="Times New Roman" w:hAnsi="Times New Roman"/>
        </w:rPr>
        <w:t>Ls=Ks×V</w:t>
      </w:r>
      <w:r>
        <w:rPr>
          <w:rFonts w:ascii="Times New Roman" w:hAnsi="Times New Roman"/>
          <w:position w:val="8"/>
          <w:sz w:val="15"/>
        </w:rPr>
        <w:t>n</w:t>
      </w:r>
      <w:r>
        <w:rPr>
          <w:rFonts w:ascii="Times New Roman" w:hAnsi="Times New Roman"/>
        </w:rPr>
        <w:t>×P*×D×Uy×Kc×E</w:t>
      </w:r>
      <w:r>
        <w:rPr>
          <w:rFonts w:ascii="Times New Roman" w:hAnsi="Times New Roman"/>
          <w:vertAlign w:val="subscript"/>
        </w:rPr>
        <w:t>f</w:t>
      </w:r>
      <w:r>
        <w:rPr>
          <w:rFonts w:ascii="Times New Roman" w:hAnsi="Times New Roman"/>
        </w:rPr>
        <w:t>×K</w:t>
      </w:r>
      <w:r>
        <w:rPr>
          <w:rFonts w:ascii="Times New Roman" w:hAnsi="Times New Roman"/>
          <w:vertAlign w:val="subscript"/>
        </w:rPr>
        <w:t>i</w:t>
      </w:r>
    </w:p>
    <w:p>
      <w:pPr>
        <w:pStyle w:val="7"/>
        <w:spacing w:line="480" w:lineRule="exact"/>
        <w:jc w:val="both"/>
        <w:rPr>
          <w:rFonts w:ascii="Times New Roman" w:hAnsi="Times New Roman" w:cs="Times New Roman"/>
          <w:lang w:eastAsia="zh-CN"/>
        </w:rPr>
      </w:pPr>
      <w:r>
        <w:rPr>
          <w:rFonts w:ascii="Times New Roman" w:hAnsi="Times New Roman" w:cs="Times New Roman"/>
          <w:lang w:eastAsia="zh-CN"/>
        </w:rPr>
        <w:t>式中：</w:t>
      </w:r>
    </w:p>
    <w:p>
      <w:pPr>
        <w:pStyle w:val="7"/>
        <w:spacing w:line="480" w:lineRule="exact"/>
        <w:ind w:firstLine="480" w:firstLineChars="200"/>
        <w:jc w:val="both"/>
        <w:rPr>
          <w:rFonts w:ascii="Times New Roman" w:hAnsi="Times New Roman" w:cs="Times New Roman"/>
          <w:lang w:eastAsia="zh-CN"/>
        </w:rPr>
      </w:pPr>
      <w:r>
        <w:rPr>
          <w:rFonts w:ascii="Times New Roman" w:hAnsi="Times New Roman" w:cs="Times New Roman"/>
          <w:lang w:eastAsia="zh-CN"/>
        </w:rPr>
        <w:t>Ls：浮顶罐静止储存损耗量，kg/a；</w:t>
      </w:r>
    </w:p>
    <w:p>
      <w:pPr>
        <w:pStyle w:val="7"/>
        <w:spacing w:line="480" w:lineRule="exact"/>
        <w:ind w:firstLine="480" w:firstLineChars="200"/>
        <w:jc w:val="both"/>
        <w:rPr>
          <w:rFonts w:ascii="Times New Roman" w:hAnsi="Times New Roman" w:cs="Times New Roman"/>
          <w:lang w:eastAsia="zh-CN"/>
        </w:rPr>
      </w:pPr>
      <w:r>
        <w:rPr>
          <w:rFonts w:ascii="Times New Roman" w:hAnsi="Times New Roman" w:cs="Times New Roman"/>
          <w:lang w:eastAsia="zh-CN"/>
        </w:rPr>
        <w:t>Ks：密封系数，</w:t>
      </w:r>
      <w:r>
        <w:rPr>
          <w:rFonts w:hint="eastAsia" w:ascii="Times New Roman" w:hAnsi="Times New Roman" w:cs="Times New Roman"/>
          <w:lang w:eastAsia="zh-CN"/>
        </w:rPr>
        <w:t>（</w:t>
      </w:r>
      <w:r>
        <w:rPr>
          <w:rFonts w:ascii="Times New Roman" w:hAnsi="Times New Roman" w:cs="Times New Roman"/>
          <w:lang w:eastAsia="zh-CN"/>
        </w:rPr>
        <w:t>浮顶取 3.1，内浮顶取 2.05</w:t>
      </w:r>
      <w:r>
        <w:rPr>
          <w:rFonts w:hint="eastAsia" w:ascii="Times New Roman" w:hAnsi="Times New Roman" w:cs="Times New Roman"/>
          <w:lang w:eastAsia="zh-CN"/>
        </w:rPr>
        <w:t>）</w:t>
      </w:r>
      <w:r>
        <w:rPr>
          <w:rFonts w:ascii="Times New Roman" w:hAnsi="Times New Roman" w:cs="Times New Roman"/>
          <w:lang w:eastAsia="zh-CN"/>
        </w:rPr>
        <w:t>；</w:t>
      </w:r>
    </w:p>
    <w:p>
      <w:pPr>
        <w:pStyle w:val="7"/>
        <w:spacing w:line="480" w:lineRule="exact"/>
        <w:ind w:firstLine="480" w:firstLineChars="200"/>
        <w:jc w:val="both"/>
        <w:rPr>
          <w:rFonts w:ascii="Times New Roman" w:hAnsi="Times New Roman" w:cs="Times New Roman"/>
          <w:lang w:eastAsia="zh-CN"/>
        </w:rPr>
      </w:pPr>
      <w:r>
        <w:rPr>
          <w:rFonts w:ascii="Times New Roman" w:hAnsi="Times New Roman" w:cs="Times New Roman"/>
          <w:lang w:eastAsia="zh-CN"/>
        </w:rPr>
        <w:t>V：油罐所在地的平均风速，取2.1m/s；</w:t>
      </w:r>
    </w:p>
    <w:p>
      <w:pPr>
        <w:pStyle w:val="7"/>
        <w:spacing w:line="480" w:lineRule="exact"/>
        <w:ind w:firstLine="480" w:firstLineChars="200"/>
        <w:jc w:val="both"/>
        <w:rPr>
          <w:rFonts w:ascii="Times New Roman" w:hAnsi="Times New Roman" w:cs="Times New Roman"/>
          <w:lang w:eastAsia="zh-CN"/>
        </w:rPr>
      </w:pPr>
      <w:r>
        <w:rPr>
          <w:rFonts w:ascii="Times New Roman" w:hAnsi="Times New Roman" w:cs="Times New Roman"/>
          <w:lang w:eastAsia="zh-CN"/>
        </w:rPr>
        <w:t>n：与密封装置类型有关的风速指数，内浮顶密封取2.6；</w:t>
      </w:r>
    </w:p>
    <w:p>
      <w:pPr>
        <w:pStyle w:val="7"/>
        <w:spacing w:line="480" w:lineRule="exact"/>
        <w:ind w:firstLine="480" w:firstLineChars="200"/>
        <w:jc w:val="both"/>
        <w:rPr>
          <w:rFonts w:ascii="Times New Roman" w:hAnsi="Times New Roman" w:cs="Times New Roman"/>
          <w:lang w:eastAsia="zh-CN"/>
        </w:rPr>
      </w:pPr>
      <w:r>
        <w:rPr>
          <w:rFonts w:ascii="Times New Roman" w:hAnsi="Times New Roman" w:cs="Times New Roman"/>
          <w:lang w:eastAsia="zh-CN"/>
        </w:rPr>
        <w:t>P*：蒸气压函数，取0.035；</w:t>
      </w:r>
    </w:p>
    <w:p>
      <w:pPr>
        <w:pStyle w:val="7"/>
        <w:spacing w:line="480" w:lineRule="exact"/>
        <w:ind w:firstLine="480" w:firstLineChars="200"/>
        <w:jc w:val="both"/>
        <w:rPr>
          <w:rFonts w:ascii="Times New Roman" w:hAnsi="Times New Roman" w:cs="Times New Roman"/>
          <w:lang w:eastAsia="zh-CN"/>
        </w:rPr>
      </w:pPr>
      <w:r>
        <w:rPr>
          <w:rFonts w:ascii="Times New Roman" w:hAnsi="Times New Roman" w:cs="Times New Roman"/>
          <w:lang w:eastAsia="zh-CN"/>
        </w:rPr>
        <w:t>D：油罐直径，取8.2m；</w:t>
      </w:r>
    </w:p>
    <w:p>
      <w:pPr>
        <w:pStyle w:val="7"/>
        <w:spacing w:line="480" w:lineRule="exact"/>
        <w:ind w:firstLine="480" w:firstLineChars="200"/>
        <w:jc w:val="both"/>
        <w:rPr>
          <w:rFonts w:ascii="Times New Roman" w:hAnsi="Times New Roman" w:cs="Times New Roman"/>
          <w:lang w:eastAsia="zh-CN"/>
        </w:rPr>
      </w:pPr>
      <w:r>
        <w:rPr>
          <w:rFonts w:ascii="Times New Roman" w:hAnsi="Times New Roman" w:cs="Times New Roman"/>
          <w:lang w:eastAsia="zh-CN"/>
        </w:rPr>
        <w:t>Uy：油蒸气摩尔质量，取130；</w:t>
      </w:r>
    </w:p>
    <w:p>
      <w:pPr>
        <w:pStyle w:val="7"/>
        <w:spacing w:line="480" w:lineRule="exact"/>
        <w:ind w:firstLine="480" w:firstLineChars="200"/>
        <w:jc w:val="both"/>
        <w:rPr>
          <w:rFonts w:ascii="Times New Roman" w:hAnsi="Times New Roman" w:cs="Times New Roman"/>
          <w:lang w:eastAsia="zh-CN"/>
        </w:rPr>
      </w:pPr>
      <w:r>
        <w:rPr>
          <w:rFonts w:ascii="Times New Roman" w:hAnsi="Times New Roman" w:cs="Times New Roman"/>
          <w:lang w:eastAsia="zh-CN"/>
        </w:rPr>
        <w:t>Kc：油品系数，对原油外所有石油液体KC=1.0；</w:t>
      </w:r>
    </w:p>
    <w:p>
      <w:pPr>
        <w:pStyle w:val="7"/>
        <w:spacing w:line="480" w:lineRule="exact"/>
        <w:ind w:firstLine="480" w:firstLineChars="200"/>
        <w:jc w:val="both"/>
        <w:rPr>
          <w:rFonts w:ascii="Times New Roman" w:hAnsi="Times New Roman" w:cs="Times New Roman"/>
          <w:lang w:eastAsia="zh-CN"/>
        </w:rPr>
      </w:pPr>
      <w:r>
        <w:rPr>
          <w:rFonts w:ascii="Times New Roman" w:hAnsi="Times New Roman" w:cs="Times New Roman"/>
          <w:lang w:eastAsia="zh-CN"/>
        </w:rPr>
        <w:t>E</w:t>
      </w:r>
      <w:r>
        <w:rPr>
          <w:rFonts w:ascii="Times New Roman" w:hAnsi="Times New Roman" w:cs="Times New Roman"/>
          <w:vertAlign w:val="subscript"/>
          <w:lang w:eastAsia="zh-CN"/>
        </w:rPr>
        <w:t>f</w:t>
      </w:r>
      <w:r>
        <w:rPr>
          <w:rFonts w:ascii="Times New Roman" w:hAnsi="Times New Roman" w:cs="Times New Roman"/>
          <w:lang w:eastAsia="zh-CN"/>
        </w:rPr>
        <w:t>：二级密封系数，单层密封取1，二次密封取0.25；</w:t>
      </w:r>
    </w:p>
    <w:p>
      <w:pPr>
        <w:pStyle w:val="7"/>
        <w:spacing w:line="480" w:lineRule="exact"/>
        <w:ind w:firstLine="480" w:firstLineChars="200"/>
        <w:jc w:val="both"/>
        <w:rPr>
          <w:rFonts w:ascii="Times New Roman" w:hAnsi="Times New Roman" w:cs="Times New Roman"/>
          <w:lang w:eastAsia="zh-CN"/>
        </w:rPr>
      </w:pPr>
      <w:r>
        <w:rPr>
          <w:rFonts w:ascii="Times New Roman" w:hAnsi="Times New Roman" w:cs="Times New Roman"/>
          <w:lang w:eastAsia="zh-CN"/>
        </w:rPr>
        <w:t>Ki：单位换算系数，采用国际单位制时为0.4536。</w:t>
      </w:r>
    </w:p>
    <w:p>
      <w:pPr>
        <w:pStyle w:val="7"/>
        <w:spacing w:line="480" w:lineRule="exact"/>
        <w:ind w:firstLine="468" w:firstLineChars="200"/>
        <w:jc w:val="both"/>
        <w:rPr>
          <w:rFonts w:ascii="Times New Roman" w:hAnsi="Times New Roman" w:cs="Times New Roman"/>
          <w:lang w:eastAsia="zh-CN"/>
        </w:rPr>
      </w:pPr>
      <w:r>
        <w:rPr>
          <w:rFonts w:ascii="Times New Roman" w:hAnsi="Times New Roman" w:cs="Times New Roman"/>
          <w:spacing w:val="-3"/>
          <w:lang w:eastAsia="zh-CN"/>
        </w:rPr>
        <w:t>本项目</w:t>
      </w:r>
      <w:r>
        <w:rPr>
          <w:rFonts w:hint="eastAsia" w:ascii="Times New Roman" w:hAnsi="Times New Roman" w:cs="Times New Roman"/>
          <w:spacing w:val="-3"/>
          <w:lang w:eastAsia="zh-CN"/>
        </w:rPr>
        <w:t>所有罐</w:t>
      </w:r>
      <w:r>
        <w:rPr>
          <w:rFonts w:ascii="Times New Roman" w:hAnsi="Times New Roman" w:cs="Times New Roman"/>
          <w:spacing w:val="-3"/>
          <w:lang w:eastAsia="zh-CN"/>
        </w:rPr>
        <w:t>均有安装呼吸阀，可减少小呼吸损耗。本评价采用的计算公式中未有</w:t>
      </w:r>
      <w:r>
        <w:rPr>
          <w:rFonts w:ascii="Times New Roman" w:hAnsi="Times New Roman" w:cs="Times New Roman"/>
          <w:lang w:eastAsia="zh-CN"/>
        </w:rPr>
        <w:t>考虑安装呼吸阀，因此可认为本评价的源强结果偏于保守。</w:t>
      </w:r>
    </w:p>
    <w:p>
      <w:pPr>
        <w:pStyle w:val="7"/>
        <w:spacing w:line="480" w:lineRule="exact"/>
        <w:ind w:firstLine="468" w:firstLineChars="200"/>
        <w:jc w:val="both"/>
        <w:rPr>
          <w:rFonts w:ascii="Times New Roman" w:hAnsi="Times New Roman" w:cs="Times New Roman"/>
          <w:spacing w:val="-3"/>
          <w:lang w:eastAsia="zh-CN"/>
        </w:rPr>
      </w:pPr>
      <w:r>
        <w:rPr>
          <w:rFonts w:ascii="Times New Roman" w:hAnsi="Times New Roman" w:cs="Times New Roman"/>
          <w:spacing w:val="-3"/>
          <w:lang w:eastAsia="zh-CN"/>
        </w:rPr>
        <w:t>根据上公式及项目储罐情况计算得大小呼吸废气产生总量见</w:t>
      </w:r>
      <w:r>
        <w:rPr>
          <w:rFonts w:hint="eastAsia" w:ascii="Times New Roman" w:hAnsi="Times New Roman" w:cs="Times New Roman"/>
          <w:spacing w:val="-3"/>
          <w:lang w:eastAsia="zh-CN"/>
        </w:rPr>
        <w:t>表</w:t>
      </w:r>
      <w:r>
        <w:rPr>
          <w:rFonts w:ascii="Times New Roman" w:hAnsi="Times New Roman" w:cs="Times New Roman"/>
          <w:spacing w:val="-3"/>
          <w:lang w:eastAsia="zh-CN"/>
        </w:rPr>
        <w:t>3.8-3。</w:t>
      </w:r>
    </w:p>
    <w:p>
      <w:pPr>
        <w:spacing w:line="480" w:lineRule="exact"/>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表3.8-3        储罐小呼吸废气产生及排放量计算结果一览表</w:t>
      </w:r>
    </w:p>
    <w:tbl>
      <w:tblPr>
        <w:tblStyle w:val="19"/>
        <w:tblW w:w="8612" w:type="dxa"/>
        <w:jc w:val="center"/>
        <w:tblInd w:w="0" w:type="dxa"/>
        <w:tblLayout w:type="fixed"/>
        <w:tblCellMar>
          <w:top w:w="0" w:type="dxa"/>
          <w:left w:w="108" w:type="dxa"/>
          <w:bottom w:w="0" w:type="dxa"/>
          <w:right w:w="108" w:type="dxa"/>
        </w:tblCellMar>
      </w:tblPr>
      <w:tblGrid>
        <w:gridCol w:w="1300"/>
        <w:gridCol w:w="1165"/>
        <w:gridCol w:w="877"/>
        <w:gridCol w:w="1168"/>
        <w:gridCol w:w="873"/>
        <w:gridCol w:w="1322"/>
        <w:gridCol w:w="865"/>
        <w:gridCol w:w="1042"/>
      </w:tblGrid>
      <w:tr>
        <w:tblPrEx>
          <w:tblLayout w:type="fixed"/>
          <w:tblCellMar>
            <w:top w:w="0" w:type="dxa"/>
            <w:left w:w="108" w:type="dxa"/>
            <w:bottom w:w="0" w:type="dxa"/>
            <w:right w:w="108" w:type="dxa"/>
          </w:tblCellMar>
        </w:tblPrEx>
        <w:trPr>
          <w:trHeight w:val="645" w:hRule="atLeast"/>
          <w:jc w:val="center"/>
        </w:trPr>
        <w:tc>
          <w:tcPr>
            <w:tcW w:w="1300"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罐组</w:t>
            </w:r>
          </w:p>
        </w:tc>
        <w:tc>
          <w:tcPr>
            <w:tcW w:w="1165" w:type="dxa"/>
            <w:tcBorders>
              <w:top w:val="single" w:color="000000" w:sz="8" w:space="0"/>
              <w:left w:val="nil"/>
              <w:bottom w:val="single" w:color="000000" w:sz="8"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规格</w:t>
            </w:r>
          </w:p>
        </w:tc>
        <w:tc>
          <w:tcPr>
            <w:tcW w:w="877" w:type="dxa"/>
            <w:tcBorders>
              <w:top w:val="single" w:color="000000" w:sz="8" w:space="0"/>
              <w:left w:val="nil"/>
              <w:bottom w:val="single" w:color="000000" w:sz="8"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数量</w:t>
            </w:r>
          </w:p>
        </w:tc>
        <w:tc>
          <w:tcPr>
            <w:tcW w:w="1168" w:type="dxa"/>
            <w:vMerge w:val="restart"/>
            <w:tcBorders>
              <w:top w:val="single" w:color="000000" w:sz="8" w:space="0"/>
              <w:left w:val="nil"/>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储罐类型</w:t>
            </w:r>
          </w:p>
        </w:tc>
        <w:tc>
          <w:tcPr>
            <w:tcW w:w="873" w:type="dxa"/>
            <w:tcBorders>
              <w:top w:val="single" w:color="000000" w:sz="8" w:space="0"/>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H</w:t>
            </w:r>
          </w:p>
        </w:tc>
        <w:tc>
          <w:tcPr>
            <w:tcW w:w="1322" w:type="dxa"/>
            <w:tcBorders>
              <w:top w:val="single" w:color="000000" w:sz="8" w:space="0"/>
              <w:left w:val="nil"/>
              <w:bottom w:val="single" w:color="000000" w:sz="8"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单个储罐的小呼吸损耗</w:t>
            </w:r>
          </w:p>
        </w:tc>
        <w:tc>
          <w:tcPr>
            <w:tcW w:w="1907" w:type="dxa"/>
            <w:gridSpan w:val="2"/>
            <w:tcBorders>
              <w:top w:val="single" w:color="000000" w:sz="8" w:space="0"/>
              <w:left w:val="nil"/>
              <w:bottom w:val="single" w:color="000000" w:sz="8"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小计</w:t>
            </w:r>
          </w:p>
        </w:tc>
      </w:tr>
      <w:tr>
        <w:tblPrEx>
          <w:tblLayout w:type="fixed"/>
          <w:tblCellMar>
            <w:top w:w="0" w:type="dxa"/>
            <w:left w:w="108" w:type="dxa"/>
            <w:bottom w:w="0" w:type="dxa"/>
            <w:right w:w="108" w:type="dxa"/>
          </w:tblCellMar>
        </w:tblPrEx>
        <w:trPr>
          <w:trHeight w:val="420" w:hRule="atLeast"/>
          <w:jc w:val="center"/>
        </w:trPr>
        <w:tc>
          <w:tcPr>
            <w:tcW w:w="1300"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单位</w:t>
            </w:r>
          </w:p>
        </w:tc>
        <w:tc>
          <w:tcPr>
            <w:tcW w:w="1165"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m³</w:t>
            </w:r>
          </w:p>
        </w:tc>
        <w:tc>
          <w:tcPr>
            <w:tcW w:w="877" w:type="dxa"/>
            <w:tcBorders>
              <w:top w:val="nil"/>
              <w:left w:val="nil"/>
              <w:bottom w:val="single" w:color="000000" w:sz="8"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座</w:t>
            </w:r>
          </w:p>
        </w:tc>
        <w:tc>
          <w:tcPr>
            <w:tcW w:w="1168" w:type="dxa"/>
            <w:vMerge w:val="continue"/>
            <w:tcBorders>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p>
        </w:tc>
        <w:tc>
          <w:tcPr>
            <w:tcW w:w="873"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m</w:t>
            </w:r>
          </w:p>
        </w:tc>
        <w:tc>
          <w:tcPr>
            <w:tcW w:w="1322"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t/a</w:t>
            </w:r>
          </w:p>
        </w:tc>
        <w:tc>
          <w:tcPr>
            <w:tcW w:w="865"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t/a</w:t>
            </w:r>
          </w:p>
        </w:tc>
        <w:tc>
          <w:tcPr>
            <w:tcW w:w="1042"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kg/h</w:t>
            </w:r>
          </w:p>
        </w:tc>
      </w:tr>
      <w:tr>
        <w:tblPrEx>
          <w:tblLayout w:type="fixed"/>
          <w:tblCellMar>
            <w:top w:w="0" w:type="dxa"/>
            <w:left w:w="108" w:type="dxa"/>
            <w:bottom w:w="0" w:type="dxa"/>
            <w:right w:w="108" w:type="dxa"/>
          </w:tblCellMar>
        </w:tblPrEx>
        <w:trPr>
          <w:trHeight w:val="360" w:hRule="atLeast"/>
          <w:jc w:val="center"/>
        </w:trPr>
        <w:tc>
          <w:tcPr>
            <w:tcW w:w="1300"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废矿物油</w:t>
            </w:r>
          </w:p>
        </w:tc>
        <w:tc>
          <w:tcPr>
            <w:tcW w:w="1165"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1000</w:t>
            </w:r>
          </w:p>
        </w:tc>
        <w:tc>
          <w:tcPr>
            <w:tcW w:w="877"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12</w:t>
            </w:r>
          </w:p>
        </w:tc>
        <w:tc>
          <w:tcPr>
            <w:tcW w:w="1168" w:type="dxa"/>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固定顶</w:t>
            </w:r>
          </w:p>
        </w:tc>
        <w:tc>
          <w:tcPr>
            <w:tcW w:w="873"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5.696</w:t>
            </w:r>
          </w:p>
        </w:tc>
        <w:tc>
          <w:tcPr>
            <w:tcW w:w="1322"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0.584</w:t>
            </w:r>
          </w:p>
        </w:tc>
        <w:tc>
          <w:tcPr>
            <w:tcW w:w="865"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7.010</w:t>
            </w:r>
          </w:p>
        </w:tc>
        <w:tc>
          <w:tcPr>
            <w:tcW w:w="1042"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0.88</w:t>
            </w:r>
          </w:p>
        </w:tc>
      </w:tr>
      <w:tr>
        <w:tblPrEx>
          <w:tblLayout w:type="fixed"/>
          <w:tblCellMar>
            <w:top w:w="0" w:type="dxa"/>
            <w:left w:w="108" w:type="dxa"/>
            <w:bottom w:w="0" w:type="dxa"/>
            <w:right w:w="108" w:type="dxa"/>
          </w:tblCellMar>
        </w:tblPrEx>
        <w:trPr>
          <w:trHeight w:val="360" w:hRule="atLeast"/>
          <w:jc w:val="center"/>
        </w:trPr>
        <w:tc>
          <w:tcPr>
            <w:tcW w:w="1300"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基础油</w:t>
            </w:r>
          </w:p>
        </w:tc>
        <w:tc>
          <w:tcPr>
            <w:tcW w:w="1165"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1000</w:t>
            </w:r>
          </w:p>
        </w:tc>
        <w:tc>
          <w:tcPr>
            <w:tcW w:w="877"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8</w:t>
            </w:r>
          </w:p>
        </w:tc>
        <w:tc>
          <w:tcPr>
            <w:tcW w:w="1168"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left"/>
              <w:rPr>
                <w:rFonts w:ascii="宋体" w:hAnsi="宋体" w:eastAsia="宋体" w:cs="宋体"/>
                <w:kern w:val="0"/>
                <w:szCs w:val="21"/>
              </w:rPr>
            </w:pPr>
          </w:p>
        </w:tc>
        <w:tc>
          <w:tcPr>
            <w:tcW w:w="873"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5.696</w:t>
            </w:r>
          </w:p>
        </w:tc>
        <w:tc>
          <w:tcPr>
            <w:tcW w:w="1322"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0.759</w:t>
            </w:r>
          </w:p>
        </w:tc>
        <w:tc>
          <w:tcPr>
            <w:tcW w:w="865"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6.072</w:t>
            </w:r>
          </w:p>
        </w:tc>
        <w:tc>
          <w:tcPr>
            <w:tcW w:w="1042"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0.76</w:t>
            </w:r>
          </w:p>
        </w:tc>
      </w:tr>
      <w:tr>
        <w:tblPrEx>
          <w:tblLayout w:type="fixed"/>
          <w:tblCellMar>
            <w:top w:w="0" w:type="dxa"/>
            <w:left w:w="108" w:type="dxa"/>
            <w:bottom w:w="0" w:type="dxa"/>
            <w:right w:w="108" w:type="dxa"/>
          </w:tblCellMar>
        </w:tblPrEx>
        <w:trPr>
          <w:trHeight w:val="375" w:hRule="atLeast"/>
          <w:jc w:val="center"/>
        </w:trPr>
        <w:tc>
          <w:tcPr>
            <w:tcW w:w="1300"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燃料油</w:t>
            </w:r>
          </w:p>
        </w:tc>
        <w:tc>
          <w:tcPr>
            <w:tcW w:w="1165"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1000</w:t>
            </w:r>
          </w:p>
        </w:tc>
        <w:tc>
          <w:tcPr>
            <w:tcW w:w="877"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4</w:t>
            </w:r>
          </w:p>
        </w:tc>
        <w:tc>
          <w:tcPr>
            <w:tcW w:w="1168"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left"/>
              <w:rPr>
                <w:rFonts w:ascii="宋体" w:hAnsi="宋体" w:eastAsia="宋体" w:cs="宋体"/>
                <w:kern w:val="0"/>
                <w:szCs w:val="21"/>
              </w:rPr>
            </w:pPr>
          </w:p>
        </w:tc>
        <w:tc>
          <w:tcPr>
            <w:tcW w:w="873"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5.024</w:t>
            </w:r>
          </w:p>
        </w:tc>
        <w:tc>
          <w:tcPr>
            <w:tcW w:w="1322"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0.294</w:t>
            </w:r>
          </w:p>
        </w:tc>
        <w:tc>
          <w:tcPr>
            <w:tcW w:w="865"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1.176</w:t>
            </w:r>
          </w:p>
        </w:tc>
        <w:tc>
          <w:tcPr>
            <w:tcW w:w="1042"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0.148</w:t>
            </w:r>
          </w:p>
        </w:tc>
      </w:tr>
      <w:tr>
        <w:tblPrEx>
          <w:tblLayout w:type="fixed"/>
          <w:tblCellMar>
            <w:top w:w="0" w:type="dxa"/>
            <w:left w:w="108" w:type="dxa"/>
            <w:bottom w:w="0" w:type="dxa"/>
            <w:right w:w="108" w:type="dxa"/>
          </w:tblCellMar>
        </w:tblPrEx>
        <w:trPr>
          <w:trHeight w:val="390" w:hRule="atLeast"/>
          <w:jc w:val="center"/>
        </w:trPr>
        <w:tc>
          <w:tcPr>
            <w:tcW w:w="1300" w:type="dxa"/>
            <w:tcBorders>
              <w:top w:val="nil"/>
              <w:left w:val="single" w:color="000000" w:sz="8" w:space="0"/>
              <w:bottom w:val="single" w:color="000000" w:sz="8"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汽油、柴油</w:t>
            </w:r>
          </w:p>
        </w:tc>
        <w:tc>
          <w:tcPr>
            <w:tcW w:w="1165" w:type="dxa"/>
            <w:tcBorders>
              <w:top w:val="nil"/>
              <w:left w:val="single" w:color="auto" w:sz="4" w:space="0"/>
              <w:bottom w:val="single" w:color="000000" w:sz="8" w:space="0"/>
              <w:right w:val="single" w:color="auto" w:sz="4"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300</w:t>
            </w:r>
          </w:p>
        </w:tc>
        <w:tc>
          <w:tcPr>
            <w:tcW w:w="877" w:type="dxa"/>
            <w:tcBorders>
              <w:top w:val="nil"/>
              <w:left w:val="single" w:color="auto" w:sz="4" w:space="0"/>
              <w:bottom w:val="single" w:color="000000" w:sz="8" w:space="0"/>
              <w:right w:val="single" w:color="auto" w:sz="4"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4</w:t>
            </w:r>
          </w:p>
        </w:tc>
        <w:tc>
          <w:tcPr>
            <w:tcW w:w="1168" w:type="dxa"/>
            <w:tcBorders>
              <w:top w:val="nil"/>
              <w:left w:val="single" w:color="auto" w:sz="4" w:space="0"/>
              <w:bottom w:val="single" w:color="000000" w:sz="8"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内浮顶</w:t>
            </w:r>
          </w:p>
        </w:tc>
        <w:tc>
          <w:tcPr>
            <w:tcW w:w="873"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4.272</w:t>
            </w:r>
          </w:p>
        </w:tc>
        <w:tc>
          <w:tcPr>
            <w:tcW w:w="1322"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0.06</w:t>
            </w:r>
          </w:p>
        </w:tc>
        <w:tc>
          <w:tcPr>
            <w:tcW w:w="865"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0.24</w:t>
            </w:r>
          </w:p>
        </w:tc>
        <w:tc>
          <w:tcPr>
            <w:tcW w:w="1042"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0.015</w:t>
            </w:r>
          </w:p>
        </w:tc>
      </w:tr>
      <w:tr>
        <w:tblPrEx>
          <w:tblLayout w:type="fixed"/>
          <w:tblCellMar>
            <w:top w:w="0" w:type="dxa"/>
            <w:left w:w="108" w:type="dxa"/>
            <w:bottom w:w="0" w:type="dxa"/>
            <w:right w:w="108" w:type="dxa"/>
          </w:tblCellMar>
        </w:tblPrEx>
        <w:trPr>
          <w:trHeight w:val="450" w:hRule="atLeast"/>
          <w:jc w:val="center"/>
        </w:trPr>
        <w:tc>
          <w:tcPr>
            <w:tcW w:w="1300" w:type="dxa"/>
            <w:tcBorders>
              <w:top w:val="single" w:color="000000" w:sz="8" w:space="0"/>
              <w:left w:val="single" w:color="000000" w:sz="8" w:space="0"/>
              <w:bottom w:val="single" w:color="000000" w:sz="8"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合计</w:t>
            </w:r>
          </w:p>
        </w:tc>
        <w:tc>
          <w:tcPr>
            <w:tcW w:w="1165" w:type="dxa"/>
            <w:tcBorders>
              <w:top w:val="single" w:color="000000" w:sz="8" w:space="0"/>
              <w:left w:val="single" w:color="auto" w:sz="4" w:space="0"/>
              <w:bottom w:val="single" w:color="000000" w:sz="8" w:space="0"/>
              <w:right w:val="single" w:color="auto" w:sz="4" w:space="0"/>
            </w:tcBorders>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w:t>
            </w:r>
          </w:p>
        </w:tc>
        <w:tc>
          <w:tcPr>
            <w:tcW w:w="877" w:type="dxa"/>
            <w:tcBorders>
              <w:top w:val="single" w:color="000000" w:sz="8" w:space="0"/>
              <w:left w:val="single" w:color="auto" w:sz="4" w:space="0"/>
              <w:bottom w:val="single" w:color="000000" w:sz="8" w:space="0"/>
              <w:right w:val="single" w:color="auto" w:sz="4" w:space="0"/>
            </w:tcBorders>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w:t>
            </w:r>
          </w:p>
        </w:tc>
        <w:tc>
          <w:tcPr>
            <w:tcW w:w="1168" w:type="dxa"/>
            <w:tcBorders>
              <w:top w:val="single" w:color="000000" w:sz="8" w:space="0"/>
              <w:left w:val="single" w:color="auto" w:sz="4" w:space="0"/>
              <w:bottom w:val="single" w:color="000000" w:sz="8" w:space="0"/>
              <w:right w:val="single" w:color="000000" w:sz="8" w:space="0"/>
            </w:tcBorders>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w:t>
            </w:r>
          </w:p>
        </w:tc>
        <w:tc>
          <w:tcPr>
            <w:tcW w:w="873"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hint="eastAsia" w:ascii="Times New Roman" w:hAnsi="Times New Roman"/>
                <w:kern w:val="0"/>
                <w:szCs w:val="21"/>
              </w:rPr>
              <w:t>/</w:t>
            </w:r>
          </w:p>
        </w:tc>
        <w:tc>
          <w:tcPr>
            <w:tcW w:w="1322"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hint="eastAsia" w:ascii="Times New Roman" w:hAnsi="Times New Roman"/>
                <w:kern w:val="0"/>
                <w:szCs w:val="21"/>
              </w:rPr>
              <w:t>/</w:t>
            </w:r>
          </w:p>
        </w:tc>
        <w:tc>
          <w:tcPr>
            <w:tcW w:w="865"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14.498</w:t>
            </w:r>
          </w:p>
        </w:tc>
        <w:tc>
          <w:tcPr>
            <w:tcW w:w="1042" w:type="dxa"/>
            <w:tcBorders>
              <w:top w:val="nil"/>
              <w:left w:val="nil"/>
              <w:bottom w:val="single" w:color="000000" w:sz="8" w:space="0"/>
              <w:right w:val="single" w:color="000000" w:sz="8" w:space="0"/>
            </w:tcBorders>
            <w:vAlign w:val="center"/>
          </w:tcPr>
          <w:p>
            <w:pPr>
              <w:widowControl/>
              <w:spacing w:line="240" w:lineRule="exact"/>
              <w:jc w:val="center"/>
              <w:rPr>
                <w:rFonts w:ascii="Times New Roman" w:hAnsi="Times New Roman"/>
                <w:kern w:val="0"/>
                <w:szCs w:val="21"/>
              </w:rPr>
            </w:pPr>
            <w:r>
              <w:rPr>
                <w:rFonts w:ascii="Times New Roman" w:hAnsi="Times New Roman"/>
                <w:kern w:val="0"/>
                <w:szCs w:val="21"/>
              </w:rPr>
              <w:t>1.812</w:t>
            </w:r>
          </w:p>
        </w:tc>
      </w:tr>
    </w:tbl>
    <w:p>
      <w:pPr>
        <w:pStyle w:val="7"/>
        <w:spacing w:line="480" w:lineRule="exact"/>
        <w:ind w:firstLine="410" w:firstLineChars="200"/>
        <w:jc w:val="both"/>
        <w:rPr>
          <w:rFonts w:ascii="Times New Roman" w:hAnsi="Times New Roman" w:cs="Times New Roman"/>
          <w:b/>
          <w:spacing w:val="-3"/>
          <w:sz w:val="21"/>
          <w:szCs w:val="21"/>
          <w:lang w:eastAsia="zh-CN"/>
        </w:rPr>
      </w:pPr>
      <w:r>
        <w:rPr>
          <w:rFonts w:hint="eastAsia" w:ascii="Times New Roman" w:hAnsi="Times New Roman" w:cs="Times New Roman"/>
          <w:b/>
          <w:spacing w:val="-3"/>
          <w:sz w:val="21"/>
          <w:szCs w:val="21"/>
          <w:lang w:eastAsia="zh-CN"/>
        </w:rPr>
        <w:t>注：沥青罐上层为凝固相，且为常温常压罐，其挥发有机物很少，故不考虑沥青罐的小呼吸。</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在装罐时设置专罐专线的气相回收线，所有的物料进行卸料时挥发出来的物料都由气相回收线回收，即物料在装罐时产生的工作损耗可通过气相回流管回流到相应的储罐，避免了卸料过程中的工作损耗。</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所有储罐设有氮封，可有效减少呼吸废气的产生。固定顶储罐在呼吸阀上设有冷凝装置可将呼吸废气冷凝下来回流到储罐里。</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每个常压罐区内所有储罐外排的静置呼吸损耗合并送往一套微生物吸附装置处理后排放，排放高度约15m。经上述处理后，可减少约90%的非甲烷总烃的排放。储罐小呼吸废气产生及排放量详见表3.</w:t>
      </w:r>
      <w:r>
        <w:rPr>
          <w:rFonts w:ascii="Times New Roman" w:hAnsi="Times New Roman" w:eastAsia="宋体"/>
          <w:spacing w:val="-3"/>
          <w:sz w:val="24"/>
          <w:szCs w:val="24"/>
        </w:rPr>
        <w:t>8</w:t>
      </w:r>
      <w:r>
        <w:rPr>
          <w:rFonts w:hint="eastAsia" w:ascii="Times New Roman" w:hAnsi="Times New Roman" w:eastAsia="宋体"/>
          <w:spacing w:val="-3"/>
          <w:sz w:val="24"/>
          <w:szCs w:val="24"/>
        </w:rPr>
        <w:t>-</w:t>
      </w:r>
      <w:r>
        <w:rPr>
          <w:rFonts w:ascii="Times New Roman" w:hAnsi="Times New Roman" w:eastAsia="宋体"/>
          <w:spacing w:val="-3"/>
          <w:sz w:val="24"/>
          <w:szCs w:val="24"/>
        </w:rPr>
        <w:t>4</w:t>
      </w:r>
      <w:r>
        <w:rPr>
          <w:rFonts w:hint="eastAsia" w:ascii="Times New Roman" w:hAnsi="Times New Roman" w:eastAsia="宋体"/>
          <w:spacing w:val="-3"/>
          <w:sz w:val="24"/>
          <w:szCs w:val="24"/>
        </w:rPr>
        <w:t>。</w:t>
      </w:r>
    </w:p>
    <w:p>
      <w:pPr>
        <w:spacing w:line="480" w:lineRule="exact"/>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表3.8-4      储罐小呼吸废气产生及排放量计算结果一览表</w:t>
      </w:r>
    </w:p>
    <w:tbl>
      <w:tblPr>
        <w:tblStyle w:val="20"/>
        <w:tblW w:w="98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696"/>
        <w:gridCol w:w="708"/>
        <w:gridCol w:w="791"/>
        <w:gridCol w:w="594"/>
        <w:gridCol w:w="629"/>
        <w:gridCol w:w="772"/>
        <w:gridCol w:w="541"/>
        <w:gridCol w:w="686"/>
        <w:gridCol w:w="686"/>
        <w:gridCol w:w="726"/>
        <w:gridCol w:w="710"/>
        <w:gridCol w:w="66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933" w:type="dxa"/>
            <w:vMerge w:val="restart"/>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污染工序</w:t>
            </w:r>
          </w:p>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/车间</w:t>
            </w:r>
          </w:p>
        </w:tc>
        <w:tc>
          <w:tcPr>
            <w:tcW w:w="696" w:type="dxa"/>
            <w:vMerge w:val="restart"/>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污染物</w:t>
            </w:r>
          </w:p>
        </w:tc>
        <w:tc>
          <w:tcPr>
            <w:tcW w:w="708"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废气量</w:t>
            </w:r>
          </w:p>
        </w:tc>
        <w:tc>
          <w:tcPr>
            <w:tcW w:w="2014" w:type="dxa"/>
            <w:gridSpan w:val="3"/>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产生源强</w:t>
            </w:r>
          </w:p>
        </w:tc>
        <w:tc>
          <w:tcPr>
            <w:tcW w:w="772" w:type="dxa"/>
            <w:vMerge w:val="restart"/>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治理措施/设备</w:t>
            </w:r>
          </w:p>
        </w:tc>
        <w:tc>
          <w:tcPr>
            <w:tcW w:w="541" w:type="dxa"/>
            <w:vMerge w:val="restart"/>
            <w:vAlign w:val="center"/>
          </w:tcPr>
          <w:p>
            <w:pPr>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效率(%）</w:t>
            </w:r>
          </w:p>
        </w:tc>
        <w:tc>
          <w:tcPr>
            <w:tcW w:w="2098" w:type="dxa"/>
            <w:gridSpan w:val="3"/>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排气筒</w:t>
            </w:r>
          </w:p>
        </w:tc>
        <w:tc>
          <w:tcPr>
            <w:tcW w:w="2046" w:type="dxa"/>
            <w:gridSpan w:val="3"/>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排放源强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933" w:type="dxa"/>
            <w:vMerge w:val="continue"/>
            <w:vAlign w:val="center"/>
          </w:tcPr>
          <w:p>
            <w:pPr>
              <w:widowControl/>
              <w:spacing w:line="240" w:lineRule="exact"/>
              <w:jc w:val="center"/>
              <w:rPr>
                <w:rFonts w:ascii="Times New Roman" w:hAnsi="Times New Roman" w:eastAsia="宋体" w:cs="Times New Roman"/>
                <w:kern w:val="0"/>
                <w:sz w:val="15"/>
                <w:szCs w:val="15"/>
              </w:rPr>
            </w:pPr>
          </w:p>
        </w:tc>
        <w:tc>
          <w:tcPr>
            <w:tcW w:w="696" w:type="dxa"/>
            <w:vMerge w:val="continue"/>
            <w:vAlign w:val="center"/>
          </w:tcPr>
          <w:p>
            <w:pPr>
              <w:widowControl/>
              <w:spacing w:line="240" w:lineRule="exact"/>
              <w:jc w:val="center"/>
              <w:rPr>
                <w:rFonts w:ascii="Times New Roman" w:hAnsi="Times New Roman" w:eastAsia="宋体" w:cs="Times New Roman"/>
                <w:kern w:val="0"/>
                <w:sz w:val="15"/>
                <w:szCs w:val="15"/>
              </w:rPr>
            </w:pPr>
          </w:p>
        </w:tc>
        <w:tc>
          <w:tcPr>
            <w:tcW w:w="708"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(m</w:t>
            </w:r>
            <w:r>
              <w:rPr>
                <w:rFonts w:ascii="Times New Roman" w:hAnsi="Times New Roman" w:eastAsia="宋体" w:cs="Times New Roman"/>
                <w:kern w:val="0"/>
                <w:sz w:val="15"/>
                <w:szCs w:val="15"/>
                <w:vertAlign w:val="superscript"/>
              </w:rPr>
              <w:t>3</w:t>
            </w:r>
            <w:r>
              <w:rPr>
                <w:rFonts w:ascii="Times New Roman" w:hAnsi="Times New Roman" w:eastAsia="宋体" w:cs="Times New Roman"/>
                <w:kern w:val="0"/>
                <w:sz w:val="15"/>
                <w:szCs w:val="15"/>
              </w:rPr>
              <w:t>/h)</w:t>
            </w:r>
          </w:p>
        </w:tc>
        <w:tc>
          <w:tcPr>
            <w:tcW w:w="791"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mg/m</w:t>
            </w:r>
            <w:r>
              <w:rPr>
                <w:rFonts w:ascii="Times New Roman" w:hAnsi="Times New Roman" w:eastAsia="宋体" w:cs="Times New Roman"/>
                <w:kern w:val="0"/>
                <w:sz w:val="15"/>
                <w:szCs w:val="15"/>
                <w:vertAlign w:val="superscript"/>
              </w:rPr>
              <w:t>3</w:t>
            </w:r>
          </w:p>
        </w:tc>
        <w:tc>
          <w:tcPr>
            <w:tcW w:w="594"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kg/h</w:t>
            </w:r>
          </w:p>
        </w:tc>
        <w:tc>
          <w:tcPr>
            <w:tcW w:w="629"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t/a</w:t>
            </w:r>
          </w:p>
        </w:tc>
        <w:tc>
          <w:tcPr>
            <w:tcW w:w="772" w:type="dxa"/>
            <w:vMerge w:val="continue"/>
            <w:vAlign w:val="center"/>
          </w:tcPr>
          <w:p>
            <w:pPr>
              <w:widowControl/>
              <w:spacing w:line="240" w:lineRule="exact"/>
              <w:jc w:val="center"/>
              <w:rPr>
                <w:rFonts w:ascii="Times New Roman" w:hAnsi="Times New Roman" w:eastAsia="宋体" w:cs="Times New Roman"/>
                <w:kern w:val="0"/>
                <w:sz w:val="15"/>
                <w:szCs w:val="15"/>
              </w:rPr>
            </w:pPr>
          </w:p>
        </w:tc>
        <w:tc>
          <w:tcPr>
            <w:tcW w:w="541" w:type="dxa"/>
            <w:vMerge w:val="continue"/>
            <w:vAlign w:val="center"/>
          </w:tcPr>
          <w:p>
            <w:pPr>
              <w:widowControl/>
              <w:spacing w:line="240" w:lineRule="exact"/>
              <w:jc w:val="center"/>
              <w:rPr>
                <w:rFonts w:ascii="Times New Roman" w:hAnsi="Times New Roman" w:eastAsia="宋体" w:cs="Times New Roman"/>
                <w:kern w:val="0"/>
                <w:sz w:val="15"/>
                <w:szCs w:val="15"/>
              </w:rPr>
            </w:pPr>
          </w:p>
        </w:tc>
        <w:tc>
          <w:tcPr>
            <w:tcW w:w="686"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高度（m）</w:t>
            </w:r>
          </w:p>
        </w:tc>
        <w:tc>
          <w:tcPr>
            <w:tcW w:w="686"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内径（m）</w:t>
            </w:r>
          </w:p>
        </w:tc>
        <w:tc>
          <w:tcPr>
            <w:tcW w:w="726"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温度（</w:t>
            </w:r>
            <w:r>
              <w:rPr>
                <w:rFonts w:hint="eastAsia" w:ascii="宋体" w:hAnsi="宋体" w:eastAsia="宋体" w:cs="宋体"/>
                <w:kern w:val="0"/>
                <w:sz w:val="15"/>
                <w:szCs w:val="15"/>
              </w:rPr>
              <w:t>℃</w:t>
            </w:r>
            <w:r>
              <w:rPr>
                <w:rFonts w:ascii="Times New Roman" w:hAnsi="Times New Roman" w:eastAsia="宋体" w:cs="Times New Roman"/>
                <w:kern w:val="0"/>
                <w:sz w:val="15"/>
                <w:szCs w:val="15"/>
              </w:rPr>
              <w:t>）</w:t>
            </w:r>
          </w:p>
        </w:tc>
        <w:tc>
          <w:tcPr>
            <w:tcW w:w="710"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mg/m</w:t>
            </w:r>
            <w:r>
              <w:rPr>
                <w:rFonts w:ascii="Times New Roman" w:hAnsi="Times New Roman" w:eastAsia="宋体" w:cs="Times New Roman"/>
                <w:kern w:val="0"/>
                <w:sz w:val="15"/>
                <w:szCs w:val="15"/>
                <w:vertAlign w:val="superscript"/>
              </w:rPr>
              <w:t>3</w:t>
            </w:r>
          </w:p>
        </w:tc>
        <w:tc>
          <w:tcPr>
            <w:tcW w:w="668"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kg/h</w:t>
            </w:r>
          </w:p>
        </w:tc>
        <w:tc>
          <w:tcPr>
            <w:tcW w:w="668"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933"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罐区呼吸废气</w:t>
            </w:r>
          </w:p>
        </w:tc>
        <w:tc>
          <w:tcPr>
            <w:tcW w:w="696"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非甲烷总烃</w:t>
            </w:r>
          </w:p>
        </w:tc>
        <w:tc>
          <w:tcPr>
            <w:tcW w:w="708"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3000</w:t>
            </w:r>
          </w:p>
        </w:tc>
        <w:tc>
          <w:tcPr>
            <w:tcW w:w="791"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604</w:t>
            </w:r>
          </w:p>
        </w:tc>
        <w:tc>
          <w:tcPr>
            <w:tcW w:w="594"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1.812</w:t>
            </w:r>
          </w:p>
        </w:tc>
        <w:tc>
          <w:tcPr>
            <w:tcW w:w="629"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14.498</w:t>
            </w:r>
          </w:p>
        </w:tc>
        <w:tc>
          <w:tcPr>
            <w:tcW w:w="772"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微生物吸附</w:t>
            </w:r>
          </w:p>
        </w:tc>
        <w:tc>
          <w:tcPr>
            <w:tcW w:w="541"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90</w:t>
            </w:r>
          </w:p>
        </w:tc>
        <w:tc>
          <w:tcPr>
            <w:tcW w:w="686"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15</w:t>
            </w:r>
          </w:p>
        </w:tc>
        <w:tc>
          <w:tcPr>
            <w:tcW w:w="686"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0.2</w:t>
            </w:r>
          </w:p>
        </w:tc>
        <w:tc>
          <w:tcPr>
            <w:tcW w:w="726"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25</w:t>
            </w:r>
          </w:p>
        </w:tc>
        <w:tc>
          <w:tcPr>
            <w:tcW w:w="710"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60.4</w:t>
            </w:r>
          </w:p>
        </w:tc>
        <w:tc>
          <w:tcPr>
            <w:tcW w:w="668"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0.1812</w:t>
            </w:r>
          </w:p>
        </w:tc>
        <w:tc>
          <w:tcPr>
            <w:tcW w:w="668" w:type="dxa"/>
            <w:vAlign w:val="center"/>
          </w:tcPr>
          <w:p>
            <w:pPr>
              <w:widowControl/>
              <w:spacing w:line="240" w:lineRule="exact"/>
              <w:jc w:val="center"/>
              <w:rPr>
                <w:rFonts w:ascii="Times New Roman" w:hAnsi="Times New Roman" w:eastAsia="宋体" w:cs="Times New Roman"/>
                <w:kern w:val="0"/>
                <w:sz w:val="15"/>
                <w:szCs w:val="15"/>
              </w:rPr>
            </w:pPr>
            <w:r>
              <w:rPr>
                <w:rFonts w:ascii="Times New Roman" w:hAnsi="Times New Roman" w:eastAsia="宋体" w:cs="Times New Roman"/>
                <w:kern w:val="0"/>
                <w:sz w:val="15"/>
                <w:szCs w:val="15"/>
              </w:rPr>
              <w:t>1.4498</w:t>
            </w:r>
          </w:p>
        </w:tc>
      </w:tr>
    </w:tbl>
    <w:p>
      <w:pPr>
        <w:spacing w:line="480" w:lineRule="exact"/>
        <w:ind w:firstLine="482" w:firstLineChars="200"/>
        <w:rPr>
          <w:rFonts w:ascii="Times New Roman" w:hAnsi="Times New Roman" w:eastAsia="宋体"/>
          <w:b/>
          <w:kern w:val="0"/>
          <w:sz w:val="24"/>
          <w:szCs w:val="24"/>
        </w:rPr>
      </w:pPr>
      <w:r>
        <w:rPr>
          <w:rFonts w:hint="eastAsia" w:ascii="Times New Roman" w:hAnsi="Times New Roman" w:eastAsia="宋体"/>
          <w:b/>
          <w:kern w:val="0"/>
          <w:sz w:val="24"/>
          <w:szCs w:val="24"/>
        </w:rPr>
        <w:t>（2</w:t>
      </w:r>
      <w:r>
        <w:rPr>
          <w:rFonts w:ascii="Times New Roman" w:hAnsi="Times New Roman" w:eastAsia="宋体"/>
          <w:b/>
          <w:kern w:val="0"/>
          <w:sz w:val="24"/>
          <w:szCs w:val="24"/>
        </w:rPr>
        <w:t>）装车损耗</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车装卸损耗包括废矿物油卸车损耗和成品油装车损耗。卸车损耗只是卸车过程中为饱和吸入空气而蒸发出来的油气，以及卸油作业结束后罐底残存油品和罐壁粘附油品汽化所形成的油气。装车损耗是指装车过程中排放出来的油气而造成的损耗。油品蒸发同装油前车内原有的油气浓度有关，原有油气浓度越接近饱和，蒸发损耗量越小。</w:t>
      </w:r>
    </w:p>
    <w:p>
      <w:pPr>
        <w:spacing w:line="480" w:lineRule="exact"/>
        <w:ind w:firstLine="482" w:firstLineChars="200"/>
        <w:rPr>
          <w:rFonts w:ascii="Times New Roman" w:hAnsi="Times New Roman" w:eastAsia="宋体"/>
          <w:b/>
          <w:kern w:val="0"/>
          <w:sz w:val="24"/>
          <w:szCs w:val="24"/>
        </w:rPr>
      </w:pPr>
      <w:r>
        <w:rPr>
          <w:rFonts w:hint="eastAsia" w:ascii="Times New Roman" w:hAnsi="Times New Roman" w:eastAsia="宋体"/>
          <w:b/>
          <w:kern w:val="0"/>
          <w:sz w:val="24"/>
          <w:szCs w:val="24"/>
        </w:rPr>
        <w:t>项目变更前后，废矿物油原料类别有细微变化，处理规模不变，产品种类和数量基本不变，装卸过程中产生的损耗量基本不变。</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 xml:space="preserve">本项目油品出库采用下装浸没式装车（液下装车），同时，采用气相平衡管实现气体平衡，可有效减轻油品对车壁的冲击及减少装车油气的损耗。根据《油气回收基础理论及其应用》（黄维秋 </w:t>
      </w:r>
      <w:r>
        <w:rPr>
          <w:rFonts w:ascii="Times New Roman" w:hAnsi="Times New Roman" w:eastAsia="宋体"/>
          <w:spacing w:val="-3"/>
          <w:sz w:val="24"/>
          <w:szCs w:val="24"/>
        </w:rPr>
        <w:t>主编）推荐的车（船）装卸损</w:t>
      </w:r>
      <w:r>
        <w:rPr>
          <w:rFonts w:hint="eastAsia" w:ascii="Times New Roman" w:hAnsi="Times New Roman" w:eastAsia="宋体"/>
          <w:spacing w:val="-3"/>
          <w:sz w:val="24"/>
          <w:szCs w:val="24"/>
        </w:rPr>
        <w:t>耗公式，</w:t>
      </w:r>
      <w:r>
        <w:rPr>
          <w:rFonts w:ascii="Times New Roman" w:hAnsi="Times New Roman" w:eastAsia="宋体"/>
          <w:spacing w:val="-3"/>
          <w:sz w:val="24"/>
          <w:szCs w:val="24"/>
        </w:rPr>
        <w:t>油品及化学品在装车（船）时损耗量采用以下公式计算：</w:t>
      </w:r>
    </w:p>
    <w:p>
      <w:pPr>
        <w:spacing w:line="480" w:lineRule="exact"/>
        <w:jc w:val="center"/>
        <w:rPr>
          <w:rFonts w:ascii="Times New Roman" w:hAnsi="Times New Roman"/>
        </w:rPr>
      </w:pPr>
      <w:r>
        <w:rPr>
          <w:rFonts w:ascii="Times New Roman" w:hAnsi="Times New Roman"/>
        </w:rPr>
        <w:t>F=0.063PV</w:t>
      </w:r>
    </w:p>
    <w:p>
      <w:pPr>
        <w:spacing w:line="480" w:lineRule="exact"/>
        <w:rPr>
          <w:rFonts w:ascii="Times New Roman" w:hAnsi="Times New Roman" w:eastAsia="宋体"/>
          <w:spacing w:val="-3"/>
          <w:sz w:val="24"/>
          <w:szCs w:val="24"/>
        </w:rPr>
      </w:pPr>
      <w:r>
        <w:rPr>
          <w:rFonts w:ascii="Times New Roman" w:hAnsi="Times New Roman" w:eastAsia="宋体"/>
          <w:spacing w:val="-3"/>
          <w:sz w:val="24"/>
          <w:szCs w:val="24"/>
        </w:rPr>
        <w:t>式中：</w:t>
      </w:r>
    </w:p>
    <w:p>
      <w:pPr>
        <w:pStyle w:val="7"/>
        <w:spacing w:line="480" w:lineRule="exact"/>
        <w:ind w:firstLine="480" w:firstLineChars="200"/>
        <w:jc w:val="both"/>
        <w:rPr>
          <w:rFonts w:ascii="Times New Roman" w:hAnsi="Times New Roman" w:eastAsia="Times New Roman"/>
          <w:lang w:eastAsia="zh-CN"/>
        </w:rPr>
      </w:pPr>
      <w:r>
        <w:rPr>
          <w:rFonts w:ascii="Times New Roman" w:hAnsi="Times New Roman" w:eastAsia="Times New Roman"/>
          <w:lang w:eastAsia="zh-CN"/>
        </w:rPr>
        <w:t>F</w:t>
      </w:r>
      <w:r>
        <w:rPr>
          <w:rFonts w:hint="eastAsia" w:cs="宋体"/>
          <w:lang w:eastAsia="zh-CN"/>
        </w:rPr>
        <w:t>一释放的烃类蒸汽的重量，</w:t>
      </w:r>
      <w:r>
        <w:rPr>
          <w:rFonts w:ascii="Times New Roman" w:hAnsi="Times New Roman" w:eastAsia="Times New Roman"/>
          <w:lang w:eastAsia="zh-CN"/>
        </w:rPr>
        <w:t>kg</w:t>
      </w:r>
      <w:r>
        <w:rPr>
          <w:rFonts w:hint="eastAsia" w:cs="宋体"/>
          <w:lang w:eastAsia="zh-CN"/>
        </w:rPr>
        <w:t>；</w:t>
      </w:r>
    </w:p>
    <w:p>
      <w:pPr>
        <w:pStyle w:val="7"/>
        <w:spacing w:line="480" w:lineRule="exact"/>
        <w:ind w:firstLine="480" w:firstLineChars="200"/>
        <w:jc w:val="both"/>
        <w:rPr>
          <w:rFonts w:ascii="Times New Roman" w:hAnsi="Times New Roman" w:eastAsia="Times New Roman"/>
          <w:lang w:eastAsia="zh-CN"/>
        </w:rPr>
      </w:pPr>
      <w:r>
        <w:rPr>
          <w:rFonts w:ascii="Times New Roman" w:hAnsi="Times New Roman" w:eastAsia="Times New Roman"/>
          <w:lang w:eastAsia="zh-CN"/>
        </w:rPr>
        <w:t>P</w:t>
      </w:r>
      <w:r>
        <w:rPr>
          <w:rFonts w:hint="eastAsia" w:cs="宋体"/>
          <w:lang w:eastAsia="zh-CN"/>
        </w:rPr>
        <w:t>－</w:t>
      </w:r>
      <w:r>
        <w:rPr>
          <w:rFonts w:ascii="Times New Roman" w:hAnsi="Times New Roman" w:eastAsia="Times New Roman"/>
          <w:lang w:eastAsia="zh-CN"/>
        </w:rPr>
        <w:t>15.56</w:t>
      </w:r>
      <w:r>
        <w:rPr>
          <w:rFonts w:hint="eastAsia" w:cs="宋体"/>
          <w:lang w:eastAsia="zh-CN"/>
        </w:rPr>
        <w:t>℃时空气－烃蒸气混合物中烃蒸汽分压，</w:t>
      </w:r>
      <w:r>
        <w:rPr>
          <w:rFonts w:ascii="Times New Roman" w:hAnsi="Times New Roman" w:eastAsia="Times New Roman"/>
          <w:lang w:eastAsia="zh-CN"/>
        </w:rPr>
        <w:t>kg/cm</w:t>
      </w:r>
      <w:r>
        <w:rPr>
          <w:rFonts w:ascii="Times New Roman" w:hAnsi="Times New Roman" w:eastAsia="Times New Roman"/>
          <w:vertAlign w:val="superscript"/>
          <w:lang w:eastAsia="zh-CN"/>
        </w:rPr>
        <w:t>2</w:t>
      </w:r>
      <w:r>
        <w:rPr>
          <w:rFonts w:hint="eastAsia" w:cs="宋体"/>
          <w:lang w:eastAsia="zh-CN"/>
        </w:rPr>
        <w:t>；（本项目取</w:t>
      </w:r>
      <w:r>
        <w:rPr>
          <w:rFonts w:ascii="Times New Roman" w:hAnsi="Times New Roman" w:eastAsia="Times New Roman"/>
          <w:lang w:eastAsia="zh-CN"/>
        </w:rPr>
        <w:t>0.00667 kg/cm</w:t>
      </w:r>
      <w:r>
        <w:rPr>
          <w:rFonts w:ascii="Times New Roman" w:hAnsi="Times New Roman" w:eastAsia="Times New Roman"/>
          <w:vertAlign w:val="superscript"/>
          <w:lang w:eastAsia="zh-CN"/>
        </w:rPr>
        <w:t>2</w:t>
      </w:r>
      <w:r>
        <w:rPr>
          <w:rFonts w:hint="eastAsia" w:cs="宋体"/>
          <w:lang w:eastAsia="zh-CN"/>
        </w:rPr>
        <w:t>）；</w:t>
      </w:r>
    </w:p>
    <w:p>
      <w:pPr>
        <w:pStyle w:val="7"/>
        <w:spacing w:line="480" w:lineRule="exact"/>
        <w:ind w:firstLine="480" w:firstLineChars="200"/>
        <w:jc w:val="both"/>
        <w:rPr>
          <w:rFonts w:ascii="Times New Roman" w:hAnsi="Times New Roman" w:eastAsia="Times New Roman"/>
          <w:lang w:eastAsia="zh-CN"/>
        </w:rPr>
      </w:pPr>
      <w:r>
        <w:rPr>
          <w:rFonts w:ascii="Times New Roman" w:hAnsi="Times New Roman" w:eastAsia="Times New Roman"/>
          <w:lang w:eastAsia="zh-CN"/>
        </w:rPr>
        <w:t>V</w:t>
      </w:r>
      <w:r>
        <w:rPr>
          <w:rFonts w:hint="eastAsia" w:cs="宋体"/>
          <w:lang w:eastAsia="zh-CN"/>
        </w:rPr>
        <w:t>－装入化工原料的体积，</w:t>
      </w:r>
      <w:r>
        <w:rPr>
          <w:rFonts w:ascii="Times New Roman" w:hAnsi="Times New Roman" w:eastAsia="Times New Roman"/>
          <w:lang w:eastAsia="zh-CN"/>
        </w:rPr>
        <w:t>m</w:t>
      </w:r>
      <w:r>
        <w:rPr>
          <w:rFonts w:ascii="Times New Roman" w:hAnsi="Times New Roman" w:eastAsia="Times New Roman"/>
          <w:vertAlign w:val="superscript"/>
          <w:lang w:eastAsia="zh-CN"/>
        </w:rPr>
        <w:t>3</w:t>
      </w:r>
      <w:r>
        <w:rPr>
          <w:rFonts w:hint="eastAsia" w:cs="宋体"/>
          <w:lang w:eastAsia="zh-CN"/>
        </w:rPr>
        <w:t>。</w:t>
      </w:r>
    </w:p>
    <w:p>
      <w:pPr>
        <w:spacing w:line="480" w:lineRule="exact"/>
        <w:ind w:firstLine="468" w:firstLineChars="200"/>
        <w:rPr>
          <w:rFonts w:ascii="Times New Roman" w:hAnsi="Times New Roman" w:eastAsia="宋体"/>
          <w:spacing w:val="-3"/>
          <w:sz w:val="24"/>
          <w:szCs w:val="24"/>
        </w:rPr>
      </w:pPr>
      <w:r>
        <w:rPr>
          <w:rFonts w:ascii="Times New Roman" w:hAnsi="Times New Roman" w:eastAsia="宋体"/>
          <w:spacing w:val="-3"/>
          <w:sz w:val="24"/>
          <w:szCs w:val="24"/>
        </w:rPr>
        <w:t>本项目装卸区产生的汽车装卸油气通入泵区油气处理装置。作用是在油罐车装车过程中，实现全封闭气体回收，减少油气向大气中排放。槽车装车时，槽车的顶上呼吸口直接连通油气回收装置收集管道。含油气体进入油气回收系统之后，油气进入两个吸附塔中的一个。空气－油气混合气体中的碳氢化合物被吸到活性炭粒子表面，并在大气条件下停留在那里。混合气体中的空气成分不受活性炭的影响，通过活性炭之后进入大气，中间不再掺杂碳氢化合物。本项目的吸附效率取85%。</w:t>
      </w:r>
    </w:p>
    <w:p>
      <w:pPr>
        <w:spacing w:line="480" w:lineRule="exact"/>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 xml:space="preserve">表3.8-5          </w:t>
      </w:r>
      <w:r>
        <w:rPr>
          <w:rFonts w:hint="eastAsia" w:ascii="Times New Roman" w:hAnsi="Times New Roman" w:eastAsia="黑体" w:cs="Times New Roman"/>
          <w:sz w:val="24"/>
          <w:szCs w:val="24"/>
        </w:rPr>
        <w:t>项目</w:t>
      </w:r>
      <w:r>
        <w:rPr>
          <w:rFonts w:ascii="Times New Roman" w:hAnsi="Times New Roman" w:eastAsia="黑体" w:cs="Times New Roman"/>
          <w:sz w:val="24"/>
          <w:szCs w:val="24"/>
        </w:rPr>
        <w:t>装车油气挥发量一览表</w:t>
      </w:r>
    </w:p>
    <w:tbl>
      <w:tblPr>
        <w:tblStyle w:val="19"/>
        <w:tblW w:w="831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2"/>
        <w:gridCol w:w="1838"/>
        <w:gridCol w:w="1673"/>
        <w:gridCol w:w="1500"/>
        <w:gridCol w:w="1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exact"/>
          <w:jc w:val="center"/>
        </w:trPr>
        <w:tc>
          <w:tcPr>
            <w:tcW w:w="1632" w:type="dxa"/>
            <w:vMerge w:val="restart"/>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储存介质</w:t>
            </w:r>
          </w:p>
        </w:tc>
        <w:tc>
          <w:tcPr>
            <w:tcW w:w="1838" w:type="dxa"/>
            <w:vMerge w:val="restart"/>
            <w:vAlign w:val="center"/>
          </w:tcPr>
          <w:p>
            <w:pPr>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15.56</w:t>
            </w:r>
            <w:r>
              <w:rPr>
                <w:rFonts w:hint="eastAsia" w:ascii="宋体" w:hAnsi="宋体" w:eastAsia="宋体" w:cs="宋体"/>
                <w:kern w:val="0"/>
                <w:szCs w:val="21"/>
              </w:rPr>
              <w:t>℃</w:t>
            </w:r>
            <w:r>
              <w:rPr>
                <w:rFonts w:ascii="Times New Roman" w:hAnsi="Times New Roman" w:eastAsia="宋体" w:cs="Times New Roman"/>
                <w:kern w:val="0"/>
                <w:szCs w:val="21"/>
              </w:rPr>
              <w:t>蒸气分压（kg/cm</w:t>
            </w:r>
            <w:r>
              <w:rPr>
                <w:rFonts w:ascii="Times New Roman" w:hAnsi="Times New Roman" w:eastAsia="宋体" w:cs="Times New Roman"/>
                <w:kern w:val="0"/>
                <w:szCs w:val="21"/>
                <w:vertAlign w:val="superscript"/>
              </w:rPr>
              <w:t>2</w:t>
            </w:r>
            <w:r>
              <w:rPr>
                <w:rFonts w:ascii="Times New Roman" w:hAnsi="Times New Roman" w:eastAsia="宋体" w:cs="Times New Roman"/>
                <w:kern w:val="0"/>
                <w:szCs w:val="21"/>
              </w:rPr>
              <w:t>）</w:t>
            </w:r>
          </w:p>
        </w:tc>
        <w:tc>
          <w:tcPr>
            <w:tcW w:w="1673" w:type="dxa"/>
            <w:vMerge w:val="restart"/>
            <w:vAlign w:val="center"/>
          </w:tcPr>
          <w:p>
            <w:pPr>
              <w:spacing w:line="240" w:lineRule="exact"/>
              <w:jc w:val="center"/>
              <w:rPr>
                <w:rFonts w:ascii="Times New Roman" w:hAnsi="Times New Roman" w:eastAsia="宋体" w:cs="Times New Roman"/>
                <w:kern w:val="0"/>
                <w:szCs w:val="21"/>
                <w:lang w:eastAsia="en-US"/>
              </w:rPr>
            </w:pPr>
            <w:r>
              <w:rPr>
                <w:rFonts w:hint="eastAsia" w:ascii="Times New Roman" w:hAnsi="Times New Roman" w:eastAsia="宋体" w:cs="Times New Roman"/>
                <w:kern w:val="0"/>
                <w:szCs w:val="21"/>
              </w:rPr>
              <w:t>装车</w:t>
            </w:r>
            <w:r>
              <w:rPr>
                <w:rFonts w:ascii="Times New Roman" w:hAnsi="Times New Roman" w:eastAsia="宋体" w:cs="Times New Roman"/>
                <w:kern w:val="0"/>
                <w:szCs w:val="21"/>
                <w:lang w:eastAsia="en-US"/>
              </w:rPr>
              <w:t>损失量</w:t>
            </w:r>
          </w:p>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（t/a）</w:t>
            </w:r>
          </w:p>
        </w:tc>
        <w:tc>
          <w:tcPr>
            <w:tcW w:w="3173" w:type="dxa"/>
            <w:gridSpan w:val="2"/>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处理后排放量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exact"/>
          <w:jc w:val="center"/>
        </w:trPr>
        <w:tc>
          <w:tcPr>
            <w:tcW w:w="1632"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1838"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1673"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1500"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t/a</w:t>
            </w:r>
          </w:p>
        </w:tc>
        <w:tc>
          <w:tcPr>
            <w:tcW w:w="1673"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kg/h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exact"/>
          <w:jc w:val="center"/>
        </w:trPr>
        <w:tc>
          <w:tcPr>
            <w:tcW w:w="1632"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非甲烷总烃</w:t>
            </w:r>
          </w:p>
        </w:tc>
        <w:tc>
          <w:tcPr>
            <w:tcW w:w="1838"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0.00667</w:t>
            </w:r>
          </w:p>
        </w:tc>
        <w:tc>
          <w:tcPr>
            <w:tcW w:w="1673"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0.0207</w:t>
            </w:r>
          </w:p>
        </w:tc>
        <w:tc>
          <w:tcPr>
            <w:tcW w:w="1500"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0.0031</w:t>
            </w:r>
          </w:p>
        </w:tc>
        <w:tc>
          <w:tcPr>
            <w:tcW w:w="1673"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0.00039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 w:hRule="exact"/>
          <w:jc w:val="center"/>
        </w:trPr>
        <w:tc>
          <w:tcPr>
            <w:tcW w:w="1632"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合计</w:t>
            </w:r>
          </w:p>
        </w:tc>
        <w:tc>
          <w:tcPr>
            <w:tcW w:w="1838" w:type="dxa"/>
            <w:vAlign w:val="center"/>
          </w:tcPr>
          <w:p>
            <w:pPr>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1673"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0.0207</w:t>
            </w:r>
          </w:p>
        </w:tc>
        <w:tc>
          <w:tcPr>
            <w:tcW w:w="1500"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0.0031</w:t>
            </w:r>
          </w:p>
        </w:tc>
        <w:tc>
          <w:tcPr>
            <w:tcW w:w="1673"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0.00039</w:t>
            </w:r>
          </w:p>
        </w:tc>
      </w:tr>
    </w:tbl>
    <w:p>
      <w:pPr>
        <w:spacing w:line="480" w:lineRule="exact"/>
        <w:ind w:firstLine="482" w:firstLineChars="200"/>
        <w:rPr>
          <w:rFonts w:ascii="Times New Roman" w:hAnsi="Times New Roman" w:eastAsia="宋体"/>
          <w:b/>
          <w:sz w:val="24"/>
          <w:szCs w:val="24"/>
        </w:rPr>
      </w:pPr>
      <w:r>
        <w:rPr>
          <w:rFonts w:hint="eastAsia" w:ascii="Times New Roman" w:hAnsi="Times New Roman" w:eastAsia="宋体"/>
          <w:b/>
          <w:sz w:val="24"/>
          <w:szCs w:val="24"/>
        </w:rPr>
        <w:t>（3）</w:t>
      </w:r>
      <w:r>
        <w:rPr>
          <w:rFonts w:ascii="Times New Roman" w:hAnsi="Times New Roman" w:eastAsia="宋体"/>
          <w:b/>
          <w:sz w:val="24"/>
          <w:szCs w:val="24"/>
        </w:rPr>
        <w:t>管线阀门泄漏散发损失</w:t>
      </w:r>
    </w:p>
    <w:p>
      <w:pPr>
        <w:pStyle w:val="7"/>
        <w:spacing w:line="480" w:lineRule="exact"/>
        <w:ind w:firstLine="480" w:firstLineChars="200"/>
        <w:jc w:val="both"/>
        <w:rPr>
          <w:rFonts w:ascii="Times New Roman" w:hAnsi="Times New Roman"/>
          <w:lang w:eastAsia="zh-CN"/>
        </w:rPr>
      </w:pPr>
      <w:r>
        <w:rPr>
          <w:rFonts w:ascii="Times New Roman" w:hAnsi="Times New Roman"/>
          <w:lang w:eastAsia="zh-CN"/>
        </w:rPr>
        <w:t>输送管、管线上法兰、阀门等亦可有无组织废气散发，在温度压力、振动、磨擦和腐蚀的影响下，阀门和法兰接头可能产生泄漏，其中一部分散发到大气中。泵的转动与壳体的接触处也可能存在油品泄漏损失，其中一部分也散发进入大气。</w:t>
      </w:r>
    </w:p>
    <w:p>
      <w:pPr>
        <w:spacing w:line="480" w:lineRule="exact"/>
        <w:ind w:firstLine="482" w:firstLineChars="200"/>
        <w:rPr>
          <w:rFonts w:ascii="Times New Roman" w:hAnsi="Times New Roman" w:eastAsia="宋体"/>
          <w:b/>
          <w:kern w:val="0"/>
          <w:sz w:val="24"/>
          <w:szCs w:val="24"/>
        </w:rPr>
      </w:pPr>
      <w:r>
        <w:rPr>
          <w:rFonts w:hint="eastAsia" w:ascii="Times New Roman" w:hAnsi="Times New Roman" w:eastAsia="宋体"/>
          <w:b/>
          <w:kern w:val="0"/>
          <w:sz w:val="24"/>
          <w:szCs w:val="24"/>
        </w:rPr>
        <w:t>项目变更前后，废矿物油原料类别有细微变化，处理规模不变，产品种类和数量基本不变，项目管线阀门泄露损失量基本不变。</w:t>
      </w:r>
    </w:p>
    <w:p>
      <w:pPr>
        <w:pStyle w:val="7"/>
        <w:spacing w:line="480" w:lineRule="exact"/>
        <w:ind w:firstLine="480" w:firstLineChars="200"/>
        <w:jc w:val="both"/>
        <w:rPr>
          <w:rFonts w:ascii="Times New Roman" w:hAnsi="Times New Roman"/>
          <w:lang w:eastAsia="zh-CN"/>
        </w:rPr>
      </w:pPr>
      <w:r>
        <w:rPr>
          <w:rFonts w:ascii="Times New Roman" w:hAnsi="Times New Roman"/>
          <w:lang w:eastAsia="zh-CN"/>
        </w:rPr>
        <w:t>根据《石油化工环境保护手册》（刘天齐，烃加工出版社。1990年9月），此类损</w:t>
      </w:r>
      <w:bookmarkStart w:id="44" w:name="废气事故排放"/>
      <w:bookmarkEnd w:id="44"/>
      <w:r>
        <w:rPr>
          <w:rFonts w:ascii="Times New Roman" w:hAnsi="Times New Roman"/>
          <w:lang w:eastAsia="zh-CN"/>
        </w:rPr>
        <w:t>失的系数0.0008kg/t。项目每年周转废矿物油100000t/a，基础油80700t/a，燃料油</w:t>
      </w:r>
      <w:r>
        <w:rPr>
          <w:rFonts w:hint="eastAsia" w:ascii="Times New Roman" w:hAnsi="Times New Roman"/>
          <w:lang w:eastAsia="zh-CN"/>
        </w:rPr>
        <w:t>、汽油和柴油8000</w:t>
      </w:r>
      <w:r>
        <w:rPr>
          <w:rFonts w:ascii="Times New Roman" w:hAnsi="Times New Roman"/>
          <w:lang w:eastAsia="zh-CN"/>
        </w:rPr>
        <w:t>t/a。即项目年管线泄漏散发无组织废气</w:t>
      </w:r>
      <w:r>
        <w:rPr>
          <w:rFonts w:hint="eastAsia" w:ascii="Times New Roman" w:hAnsi="Times New Roman"/>
          <w:lang w:eastAsia="zh-CN"/>
        </w:rPr>
        <w:t>0.15</w:t>
      </w:r>
      <w:r>
        <w:rPr>
          <w:rFonts w:ascii="Times New Roman" w:hAnsi="Times New Roman"/>
          <w:lang w:eastAsia="zh-CN"/>
        </w:rPr>
        <w:t>t/a，主要因子为非甲烷总烃。</w:t>
      </w:r>
    </w:p>
    <w:p>
      <w:pPr>
        <w:spacing w:line="480" w:lineRule="exact"/>
        <w:ind w:firstLine="482" w:firstLineChars="200"/>
        <w:rPr>
          <w:rFonts w:ascii="Times New Roman" w:hAnsi="Times New Roman" w:eastAsia="宋体"/>
          <w:b/>
          <w:sz w:val="24"/>
          <w:szCs w:val="24"/>
        </w:rPr>
      </w:pPr>
      <w:r>
        <w:rPr>
          <w:rFonts w:hint="eastAsia" w:ascii="Times New Roman" w:hAnsi="Times New Roman" w:eastAsia="宋体"/>
          <w:b/>
          <w:sz w:val="24"/>
          <w:szCs w:val="24"/>
        </w:rPr>
        <w:t>（4）污水处理站废气</w:t>
      </w:r>
      <w:r>
        <w:rPr>
          <w:rFonts w:ascii="Times New Roman" w:hAnsi="Times New Roman" w:eastAsia="宋体"/>
          <w:b/>
          <w:sz w:val="24"/>
          <w:szCs w:val="24"/>
        </w:rPr>
        <w:t>排放分析</w:t>
      </w:r>
    </w:p>
    <w:p>
      <w:pPr>
        <w:spacing w:line="480" w:lineRule="exact"/>
        <w:ind w:firstLine="482" w:firstLineChars="200"/>
        <w:rPr>
          <w:rFonts w:ascii="Times New Roman" w:hAnsi="Times New Roman" w:eastAsia="宋体"/>
          <w:b/>
          <w:kern w:val="0"/>
          <w:sz w:val="24"/>
          <w:szCs w:val="24"/>
        </w:rPr>
      </w:pPr>
      <w:r>
        <w:rPr>
          <w:rFonts w:hint="eastAsia" w:ascii="Times New Roman" w:hAnsi="Times New Roman" w:eastAsia="宋体"/>
          <w:b/>
          <w:kern w:val="0"/>
          <w:sz w:val="24"/>
          <w:szCs w:val="24"/>
        </w:rPr>
        <w:t>项目变更后，去掉了糠醛精制工序，不再产生该股废水，进入污水处理站的废水量减少，污水处理站产生的有机废气及恶臭污染物量减少。</w:t>
      </w:r>
    </w:p>
    <w:p>
      <w:pPr>
        <w:pStyle w:val="7"/>
        <w:spacing w:line="480" w:lineRule="exact"/>
        <w:ind w:firstLine="480" w:firstLineChars="200"/>
        <w:jc w:val="both"/>
        <w:rPr>
          <w:rFonts w:ascii="Times New Roman" w:hAnsi="Times New Roman"/>
          <w:lang w:eastAsia="zh-CN"/>
        </w:rPr>
      </w:pPr>
      <w:r>
        <w:rPr>
          <w:rFonts w:hint="eastAsia" w:ascii="Times New Roman" w:hAnsi="Times New Roman"/>
          <w:lang w:eastAsia="zh-CN"/>
        </w:rPr>
        <w:t>①有机废气</w:t>
      </w:r>
    </w:p>
    <w:p>
      <w:pPr>
        <w:pStyle w:val="7"/>
        <w:spacing w:line="480" w:lineRule="exact"/>
        <w:ind w:firstLine="480" w:firstLineChars="200"/>
        <w:jc w:val="both"/>
        <w:rPr>
          <w:rFonts w:ascii="Times New Roman" w:hAnsi="Times New Roman"/>
          <w:lang w:eastAsia="zh-CN"/>
        </w:rPr>
      </w:pPr>
      <w:r>
        <w:rPr>
          <w:rFonts w:hint="eastAsia" w:ascii="Times New Roman" w:hAnsi="Times New Roman"/>
          <w:lang w:eastAsia="zh-CN"/>
        </w:rPr>
        <w:t>根据环境保护部发布的《石化行业VOCs污染源排查工作指南》（环办[2015]104 号）附录四提供的排放系数法计算污水处理站有机废气的产生量。</w:t>
      </w:r>
    </w:p>
    <w:p>
      <w:pPr>
        <w:spacing w:line="480" w:lineRule="exact"/>
        <w:ind w:firstLine="468" w:firstLineChars="200"/>
        <w:rPr>
          <w:rFonts w:ascii="Times New Roman" w:hAnsi="Times New Roman" w:eastAsia="宋体"/>
          <w:spacing w:val="-3"/>
          <w:kern w:val="0"/>
          <w:sz w:val="24"/>
          <w:szCs w:val="24"/>
        </w:rPr>
      </w:pPr>
      <w:r>
        <w:rPr>
          <w:rFonts w:hint="eastAsia" w:ascii="Times New Roman" w:hAnsi="Times New Roman" w:eastAsia="宋体"/>
          <w:spacing w:val="-3"/>
          <w:kern w:val="0"/>
          <w:sz w:val="24"/>
          <w:szCs w:val="24"/>
        </w:rPr>
        <w:t>污水站-废水处理设施的有机废气排放系数为 0.005</w:t>
      </w:r>
      <w:r>
        <w:rPr>
          <w:rFonts w:ascii="Times New Roman" w:hAnsi="Times New Roman" w:eastAsia="宋体"/>
          <w:spacing w:val="-3"/>
          <w:kern w:val="0"/>
          <w:sz w:val="24"/>
          <w:szCs w:val="24"/>
        </w:rPr>
        <w:t xml:space="preserve"> </w:t>
      </w:r>
      <w:r>
        <w:rPr>
          <w:rFonts w:hint="eastAsia" w:ascii="Times New Roman" w:hAnsi="Times New Roman" w:eastAsia="宋体"/>
          <w:spacing w:val="-3"/>
          <w:kern w:val="0"/>
          <w:sz w:val="24"/>
          <w:szCs w:val="24"/>
        </w:rPr>
        <w:t>kg/m</w:t>
      </w:r>
      <w:r>
        <w:rPr>
          <w:rFonts w:hint="eastAsia" w:ascii="Times New Roman" w:hAnsi="Times New Roman" w:eastAsia="宋体"/>
          <w:spacing w:val="-3"/>
          <w:kern w:val="0"/>
          <w:sz w:val="24"/>
          <w:szCs w:val="24"/>
          <w:vertAlign w:val="superscript"/>
        </w:rPr>
        <w:t>3</w:t>
      </w:r>
      <w:r>
        <w:rPr>
          <w:rFonts w:hint="eastAsia" w:ascii="Times New Roman" w:hAnsi="Times New Roman" w:eastAsia="宋体"/>
          <w:spacing w:val="-3"/>
          <w:kern w:val="0"/>
          <w:sz w:val="24"/>
          <w:szCs w:val="24"/>
        </w:rPr>
        <w:t>。变更后，本项目污水处理站处理量约为5.</w:t>
      </w:r>
      <w:r>
        <w:rPr>
          <w:rFonts w:ascii="Times New Roman" w:hAnsi="Times New Roman" w:eastAsia="宋体"/>
          <w:spacing w:val="-3"/>
          <w:kern w:val="0"/>
          <w:sz w:val="24"/>
          <w:szCs w:val="24"/>
        </w:rPr>
        <w:t>6</w:t>
      </w:r>
      <w:r>
        <w:rPr>
          <w:rFonts w:hint="eastAsia" w:ascii="Times New Roman" w:hAnsi="Times New Roman" w:eastAsia="宋体"/>
          <w:spacing w:val="-3"/>
          <w:kern w:val="0"/>
          <w:sz w:val="24"/>
          <w:szCs w:val="24"/>
        </w:rPr>
        <w:t>m</w:t>
      </w:r>
      <w:r>
        <w:rPr>
          <w:rFonts w:hint="eastAsia" w:ascii="Times New Roman" w:hAnsi="Times New Roman" w:eastAsia="宋体"/>
          <w:spacing w:val="-3"/>
          <w:kern w:val="0"/>
          <w:sz w:val="24"/>
          <w:szCs w:val="24"/>
          <w:vertAlign w:val="superscript"/>
        </w:rPr>
        <w:t>3</w:t>
      </w:r>
      <w:r>
        <w:rPr>
          <w:rFonts w:hint="eastAsia" w:ascii="Times New Roman" w:hAnsi="Times New Roman" w:eastAsia="宋体"/>
          <w:spacing w:val="-3"/>
          <w:kern w:val="0"/>
          <w:sz w:val="24"/>
          <w:szCs w:val="24"/>
        </w:rPr>
        <w:t>/h，一年以 8000小时计。则废水处理设施有机废气产生量为 0.005*</w:t>
      </w:r>
      <w:r>
        <w:rPr>
          <w:rFonts w:ascii="Times New Roman" w:hAnsi="Times New Roman" w:eastAsia="宋体"/>
          <w:spacing w:val="-3"/>
          <w:kern w:val="0"/>
          <w:sz w:val="24"/>
          <w:szCs w:val="24"/>
        </w:rPr>
        <w:t>5.4</w:t>
      </w:r>
      <w:r>
        <w:rPr>
          <w:rFonts w:hint="eastAsia" w:ascii="Times New Roman" w:hAnsi="Times New Roman" w:eastAsia="宋体"/>
          <w:spacing w:val="-3"/>
          <w:kern w:val="0"/>
          <w:sz w:val="24"/>
          <w:szCs w:val="24"/>
        </w:rPr>
        <w:t>*8000/1000=0.</w:t>
      </w:r>
      <w:r>
        <w:rPr>
          <w:rFonts w:ascii="Times New Roman" w:hAnsi="Times New Roman" w:eastAsia="宋体"/>
          <w:spacing w:val="-3"/>
          <w:kern w:val="0"/>
          <w:sz w:val="24"/>
          <w:szCs w:val="24"/>
        </w:rPr>
        <w:t xml:space="preserve">216 </w:t>
      </w:r>
      <w:r>
        <w:rPr>
          <w:rFonts w:hint="eastAsia" w:ascii="Times New Roman" w:hAnsi="Times New Roman" w:eastAsia="宋体"/>
          <w:spacing w:val="-3"/>
          <w:kern w:val="0"/>
          <w:sz w:val="24"/>
          <w:szCs w:val="24"/>
        </w:rPr>
        <w:t>t/a。</w:t>
      </w:r>
    </w:p>
    <w:p>
      <w:pPr>
        <w:spacing w:line="480" w:lineRule="exact"/>
        <w:ind w:firstLine="468" w:firstLineChars="200"/>
        <w:rPr>
          <w:rFonts w:ascii="Times New Roman" w:hAnsi="Times New Roman" w:eastAsia="宋体"/>
          <w:spacing w:val="-3"/>
          <w:kern w:val="0"/>
          <w:sz w:val="24"/>
          <w:szCs w:val="24"/>
        </w:rPr>
      </w:pPr>
      <w:r>
        <w:rPr>
          <w:rFonts w:hint="eastAsia" w:ascii="Times New Roman" w:hAnsi="Times New Roman" w:eastAsia="宋体"/>
          <w:spacing w:val="-3"/>
          <w:kern w:val="0"/>
          <w:sz w:val="24"/>
          <w:szCs w:val="24"/>
        </w:rPr>
        <w:t>本项目废水收集系统采取了密闭措施，污水处理站隔油池、调节池和厌氧池等均加盖，废气收集后送微生物吸附装置处理，收集效率为 90%、处理效率为90%。因此本项目污水处理站送微生物吸附装置处理的有机废气为0.</w:t>
      </w:r>
      <w:r>
        <w:rPr>
          <w:rFonts w:ascii="Times New Roman" w:hAnsi="Times New Roman" w:eastAsia="宋体"/>
          <w:spacing w:val="-3"/>
          <w:kern w:val="0"/>
          <w:sz w:val="24"/>
          <w:szCs w:val="24"/>
        </w:rPr>
        <w:t xml:space="preserve">1944 </w:t>
      </w:r>
      <w:r>
        <w:rPr>
          <w:rFonts w:hint="eastAsia" w:ascii="Times New Roman" w:hAnsi="Times New Roman" w:eastAsia="宋体"/>
          <w:spacing w:val="-3"/>
          <w:kern w:val="0"/>
          <w:sz w:val="24"/>
          <w:szCs w:val="24"/>
        </w:rPr>
        <w:t>t/a、未收集的废气为0.</w:t>
      </w:r>
      <w:r>
        <w:rPr>
          <w:rFonts w:ascii="Times New Roman" w:hAnsi="Times New Roman" w:eastAsia="宋体"/>
          <w:spacing w:val="-3"/>
          <w:kern w:val="0"/>
          <w:sz w:val="24"/>
          <w:szCs w:val="24"/>
        </w:rPr>
        <w:t xml:space="preserve">0216 </w:t>
      </w:r>
      <w:r>
        <w:rPr>
          <w:rFonts w:hint="eastAsia" w:ascii="Times New Roman" w:hAnsi="Times New Roman" w:eastAsia="宋体"/>
          <w:spacing w:val="-3"/>
          <w:kern w:val="0"/>
          <w:sz w:val="24"/>
          <w:szCs w:val="24"/>
        </w:rPr>
        <w:t>t/a。经微生物吸附装置处理后的有机废气经 15m 高排气筒排放，排放量为0.0</w:t>
      </w:r>
      <w:r>
        <w:rPr>
          <w:rFonts w:ascii="Times New Roman" w:hAnsi="Times New Roman" w:eastAsia="宋体"/>
          <w:spacing w:val="-3"/>
          <w:kern w:val="0"/>
          <w:sz w:val="24"/>
          <w:szCs w:val="24"/>
        </w:rPr>
        <w:t xml:space="preserve">1944 </w:t>
      </w:r>
      <w:r>
        <w:rPr>
          <w:rFonts w:hint="eastAsia" w:ascii="Times New Roman" w:hAnsi="Times New Roman" w:eastAsia="宋体"/>
          <w:spacing w:val="-3"/>
          <w:kern w:val="0"/>
          <w:sz w:val="24"/>
          <w:szCs w:val="24"/>
        </w:rPr>
        <w:t>t/a。</w:t>
      </w:r>
    </w:p>
    <w:p>
      <w:pPr>
        <w:pStyle w:val="7"/>
        <w:spacing w:line="480" w:lineRule="exact"/>
        <w:ind w:firstLine="480" w:firstLineChars="200"/>
        <w:jc w:val="both"/>
        <w:rPr>
          <w:rFonts w:ascii="Times New Roman" w:hAnsi="Times New Roman"/>
          <w:lang w:eastAsia="zh-CN"/>
        </w:rPr>
      </w:pPr>
      <w:r>
        <w:rPr>
          <w:rFonts w:hint="eastAsia" w:ascii="Times New Roman" w:hAnsi="Times New Roman"/>
          <w:lang w:eastAsia="zh-CN"/>
        </w:rPr>
        <w:t>②恶臭</w:t>
      </w:r>
    </w:p>
    <w:p>
      <w:pPr>
        <w:spacing w:line="480" w:lineRule="exact"/>
        <w:ind w:firstLine="468" w:firstLineChars="200"/>
        <w:rPr>
          <w:rFonts w:ascii="Times New Roman" w:hAnsi="Times New Roman" w:eastAsia="宋体"/>
          <w:spacing w:val="-3"/>
          <w:kern w:val="0"/>
          <w:sz w:val="24"/>
          <w:szCs w:val="24"/>
        </w:rPr>
      </w:pPr>
      <w:r>
        <w:rPr>
          <w:rFonts w:hint="eastAsia" w:ascii="Times New Roman" w:hAnsi="Times New Roman" w:eastAsia="宋体"/>
          <w:spacing w:val="-3"/>
          <w:kern w:val="0"/>
          <w:sz w:val="24"/>
          <w:szCs w:val="24"/>
        </w:rPr>
        <w:t>本项目恶臭污染物主要来自于污水处理站臭气，臭气指标以氨、硫化氢等计，主要产生于原水池、隔油池、调节池和厌氧池等，为污泥厌氧自身分解产生。变更后，污水处理站废水排放量由149.2</w:t>
      </w:r>
      <w:r>
        <w:rPr>
          <w:rFonts w:ascii="Times New Roman" w:hAnsi="Times New Roman" w:eastAsia="宋体"/>
          <w:spacing w:val="-3"/>
          <w:kern w:val="0"/>
          <w:sz w:val="24"/>
          <w:szCs w:val="24"/>
        </w:rPr>
        <w:t xml:space="preserve"> </w:t>
      </w:r>
      <w:r>
        <w:rPr>
          <w:rFonts w:ascii="Times New Roman" w:hAnsi="Times New Roman" w:eastAsia="宋体" w:cs="Times New Roman"/>
          <w:sz w:val="24"/>
          <w:szCs w:val="24"/>
        </w:rPr>
        <w:t>m</w:t>
      </w:r>
      <w:r>
        <w:rPr>
          <w:rFonts w:ascii="Times New Roman" w:hAnsi="Times New Roman" w:eastAsia="宋体"/>
          <w:kern w:val="0"/>
          <w:sz w:val="24"/>
          <w:szCs w:val="24"/>
        </w:rPr>
        <w:t>³</w:t>
      </w:r>
      <w:r>
        <w:rPr>
          <w:rFonts w:hint="eastAsia" w:ascii="Times New Roman" w:hAnsi="Times New Roman" w:eastAsia="宋体"/>
          <w:spacing w:val="-3"/>
          <w:kern w:val="0"/>
          <w:sz w:val="24"/>
          <w:szCs w:val="24"/>
        </w:rPr>
        <w:t>/</w:t>
      </w:r>
      <w:r>
        <w:rPr>
          <w:rFonts w:ascii="Times New Roman" w:hAnsi="Times New Roman" w:eastAsia="宋体"/>
          <w:spacing w:val="-3"/>
          <w:kern w:val="0"/>
          <w:sz w:val="24"/>
          <w:szCs w:val="24"/>
        </w:rPr>
        <w:t>d</w:t>
      </w:r>
      <w:r>
        <w:rPr>
          <w:rFonts w:hint="eastAsia" w:ascii="Times New Roman" w:hAnsi="Times New Roman" w:eastAsia="宋体"/>
          <w:spacing w:val="-3"/>
          <w:kern w:val="0"/>
          <w:sz w:val="24"/>
          <w:szCs w:val="24"/>
        </w:rPr>
        <w:t>减少为130.2</w:t>
      </w:r>
      <w:r>
        <w:rPr>
          <w:rFonts w:ascii="Times New Roman" w:hAnsi="Times New Roman" w:eastAsia="宋体" w:cs="Times New Roman"/>
          <w:sz w:val="24"/>
          <w:szCs w:val="24"/>
        </w:rPr>
        <w:t xml:space="preserve"> m</w:t>
      </w:r>
      <w:r>
        <w:rPr>
          <w:rFonts w:ascii="Times New Roman" w:hAnsi="Times New Roman" w:eastAsia="宋体"/>
          <w:kern w:val="0"/>
          <w:sz w:val="24"/>
          <w:szCs w:val="24"/>
        </w:rPr>
        <w:t>³/d</w:t>
      </w:r>
      <w:r>
        <w:rPr>
          <w:rFonts w:hint="eastAsia" w:ascii="Times New Roman" w:hAnsi="Times New Roman" w:eastAsia="宋体"/>
          <w:spacing w:val="-3"/>
          <w:kern w:val="0"/>
          <w:sz w:val="24"/>
          <w:szCs w:val="24"/>
        </w:rPr>
        <w:t>，本项目污水处理站臭气强度约为NH</w:t>
      </w:r>
      <w:r>
        <w:rPr>
          <w:rFonts w:hint="eastAsia" w:ascii="Times New Roman" w:hAnsi="Times New Roman" w:eastAsia="宋体"/>
          <w:spacing w:val="-3"/>
          <w:kern w:val="0"/>
          <w:sz w:val="24"/>
          <w:szCs w:val="24"/>
          <w:vertAlign w:val="subscript"/>
        </w:rPr>
        <w:t>3</w:t>
      </w:r>
      <w:r>
        <w:rPr>
          <w:rFonts w:ascii="Times New Roman" w:hAnsi="Times New Roman" w:eastAsia="宋体"/>
          <w:spacing w:val="-3"/>
          <w:kern w:val="0"/>
          <w:sz w:val="24"/>
          <w:szCs w:val="24"/>
          <w:vertAlign w:val="subscript"/>
        </w:rPr>
        <w:t xml:space="preserve"> </w:t>
      </w:r>
      <w:r>
        <w:rPr>
          <w:rFonts w:hint="eastAsia" w:ascii="Times New Roman" w:hAnsi="Times New Roman" w:eastAsia="宋体"/>
          <w:spacing w:val="-3"/>
          <w:kern w:val="0"/>
          <w:sz w:val="24"/>
          <w:szCs w:val="24"/>
        </w:rPr>
        <w:t>0.</w:t>
      </w:r>
      <w:r>
        <w:rPr>
          <w:rFonts w:ascii="Times New Roman" w:hAnsi="Times New Roman" w:eastAsia="宋体"/>
          <w:spacing w:val="-3"/>
          <w:kern w:val="0"/>
          <w:sz w:val="24"/>
          <w:szCs w:val="24"/>
        </w:rPr>
        <w:t xml:space="preserve">45 </w:t>
      </w:r>
      <w:r>
        <w:rPr>
          <w:rFonts w:hint="eastAsia" w:ascii="Times New Roman" w:hAnsi="Times New Roman" w:eastAsia="宋体"/>
          <w:spacing w:val="-3"/>
          <w:kern w:val="0"/>
          <w:sz w:val="24"/>
          <w:szCs w:val="24"/>
        </w:rPr>
        <w:t>t/a，H</w:t>
      </w:r>
      <w:r>
        <w:rPr>
          <w:rFonts w:hint="eastAsia" w:ascii="Times New Roman" w:hAnsi="Times New Roman" w:eastAsia="宋体"/>
          <w:spacing w:val="-3"/>
          <w:kern w:val="0"/>
          <w:sz w:val="24"/>
          <w:szCs w:val="24"/>
          <w:vertAlign w:val="subscript"/>
        </w:rPr>
        <w:t>2</w:t>
      </w:r>
      <w:r>
        <w:rPr>
          <w:rFonts w:hint="eastAsia" w:ascii="Times New Roman" w:hAnsi="Times New Roman" w:eastAsia="宋体"/>
          <w:spacing w:val="-3"/>
          <w:kern w:val="0"/>
          <w:sz w:val="24"/>
          <w:szCs w:val="24"/>
        </w:rPr>
        <w:t>S 0.02</w:t>
      </w:r>
      <w:r>
        <w:rPr>
          <w:rFonts w:ascii="Times New Roman" w:hAnsi="Times New Roman" w:eastAsia="宋体"/>
          <w:spacing w:val="-3"/>
          <w:kern w:val="0"/>
          <w:sz w:val="24"/>
          <w:szCs w:val="24"/>
        </w:rPr>
        <w:t>1</w:t>
      </w:r>
      <w:r>
        <w:rPr>
          <w:rFonts w:hint="eastAsia" w:ascii="Times New Roman" w:hAnsi="Times New Roman" w:eastAsia="宋体"/>
          <w:spacing w:val="-3"/>
          <w:kern w:val="0"/>
          <w:sz w:val="24"/>
          <w:szCs w:val="24"/>
        </w:rPr>
        <w:t>t/a。</w:t>
      </w:r>
    </w:p>
    <w:p>
      <w:pPr>
        <w:spacing w:line="480" w:lineRule="exact"/>
        <w:ind w:firstLine="468" w:firstLineChars="200"/>
        <w:rPr>
          <w:rFonts w:ascii="Times New Roman" w:hAnsi="Times New Roman" w:eastAsia="宋体"/>
          <w:spacing w:val="-3"/>
          <w:kern w:val="0"/>
          <w:sz w:val="24"/>
          <w:szCs w:val="24"/>
        </w:rPr>
      </w:pPr>
      <w:r>
        <w:rPr>
          <w:rFonts w:hint="eastAsia" w:ascii="Times New Roman" w:hAnsi="Times New Roman" w:eastAsia="宋体"/>
          <w:spacing w:val="-3"/>
          <w:kern w:val="0"/>
          <w:sz w:val="24"/>
          <w:szCs w:val="24"/>
        </w:rPr>
        <w:t>本项目废水收集系统采取了密闭措施，污水处理站隔油池、调节池和厌氧池等均加盖，废气收集后送微生物吸附装置处理，收集效率为90%、处理效率为90%。因此本项目污水处理站送微生物吸附装置处理的NH</w:t>
      </w:r>
      <w:r>
        <w:rPr>
          <w:rFonts w:hint="eastAsia" w:ascii="Times New Roman" w:hAnsi="Times New Roman" w:eastAsia="宋体"/>
          <w:spacing w:val="-3"/>
          <w:kern w:val="0"/>
          <w:sz w:val="24"/>
          <w:szCs w:val="24"/>
          <w:vertAlign w:val="subscript"/>
        </w:rPr>
        <w:t>3</w:t>
      </w:r>
      <w:r>
        <w:rPr>
          <w:rFonts w:ascii="Times New Roman" w:hAnsi="Times New Roman" w:eastAsia="宋体"/>
          <w:spacing w:val="-3"/>
          <w:kern w:val="0"/>
          <w:sz w:val="24"/>
          <w:szCs w:val="24"/>
          <w:vertAlign w:val="subscript"/>
        </w:rPr>
        <w:t xml:space="preserve"> </w:t>
      </w:r>
      <w:r>
        <w:rPr>
          <w:rFonts w:hint="eastAsia" w:ascii="Times New Roman" w:hAnsi="Times New Roman" w:eastAsia="宋体"/>
          <w:spacing w:val="-3"/>
          <w:kern w:val="0"/>
          <w:sz w:val="24"/>
          <w:szCs w:val="24"/>
        </w:rPr>
        <w:t>0.4</w:t>
      </w:r>
      <w:r>
        <w:rPr>
          <w:rFonts w:ascii="Times New Roman" w:hAnsi="Times New Roman" w:eastAsia="宋体"/>
          <w:spacing w:val="-3"/>
          <w:kern w:val="0"/>
          <w:sz w:val="24"/>
          <w:szCs w:val="24"/>
        </w:rPr>
        <w:t xml:space="preserve">08 </w:t>
      </w:r>
      <w:r>
        <w:rPr>
          <w:rFonts w:hint="eastAsia" w:ascii="Times New Roman" w:hAnsi="Times New Roman" w:eastAsia="宋体"/>
          <w:spacing w:val="-3"/>
          <w:kern w:val="0"/>
          <w:sz w:val="24"/>
          <w:szCs w:val="24"/>
        </w:rPr>
        <w:t>t/a和H</w:t>
      </w:r>
      <w:r>
        <w:rPr>
          <w:rFonts w:hint="eastAsia" w:ascii="Times New Roman" w:hAnsi="Times New Roman" w:eastAsia="宋体"/>
          <w:spacing w:val="-3"/>
          <w:kern w:val="0"/>
          <w:sz w:val="24"/>
          <w:szCs w:val="24"/>
          <w:vertAlign w:val="subscript"/>
        </w:rPr>
        <w:t>2</w:t>
      </w:r>
      <w:r>
        <w:rPr>
          <w:rFonts w:hint="eastAsia" w:ascii="Times New Roman" w:hAnsi="Times New Roman" w:eastAsia="宋体"/>
          <w:spacing w:val="-3"/>
          <w:kern w:val="0"/>
          <w:sz w:val="24"/>
          <w:szCs w:val="24"/>
        </w:rPr>
        <w:t>S 0.0</w:t>
      </w:r>
      <w:r>
        <w:rPr>
          <w:rFonts w:ascii="Times New Roman" w:hAnsi="Times New Roman" w:eastAsia="宋体"/>
          <w:spacing w:val="-3"/>
          <w:kern w:val="0"/>
          <w:sz w:val="24"/>
          <w:szCs w:val="24"/>
        </w:rPr>
        <w:t xml:space="preserve">188 </w:t>
      </w:r>
      <w:r>
        <w:rPr>
          <w:rFonts w:hint="eastAsia" w:ascii="Times New Roman" w:hAnsi="Times New Roman" w:eastAsia="宋体"/>
          <w:spacing w:val="-3"/>
          <w:kern w:val="0"/>
          <w:sz w:val="24"/>
          <w:szCs w:val="24"/>
        </w:rPr>
        <w:t>t/a，未收集的废气为NH</w:t>
      </w:r>
      <w:r>
        <w:rPr>
          <w:rFonts w:hint="eastAsia" w:ascii="Times New Roman" w:hAnsi="Times New Roman" w:eastAsia="宋体"/>
          <w:spacing w:val="-3"/>
          <w:kern w:val="0"/>
          <w:sz w:val="24"/>
          <w:szCs w:val="24"/>
          <w:vertAlign w:val="subscript"/>
        </w:rPr>
        <w:t>3</w:t>
      </w:r>
      <w:r>
        <w:rPr>
          <w:rFonts w:ascii="Times New Roman" w:hAnsi="Times New Roman" w:eastAsia="宋体"/>
          <w:spacing w:val="-3"/>
          <w:kern w:val="0"/>
          <w:sz w:val="24"/>
          <w:szCs w:val="24"/>
        </w:rPr>
        <w:t xml:space="preserve"> 0</w:t>
      </w:r>
      <w:r>
        <w:rPr>
          <w:rFonts w:hint="eastAsia" w:ascii="Times New Roman" w:hAnsi="Times New Roman" w:eastAsia="宋体"/>
          <w:spacing w:val="-3"/>
          <w:kern w:val="0"/>
          <w:sz w:val="24"/>
          <w:szCs w:val="24"/>
        </w:rPr>
        <w:t>.0</w:t>
      </w:r>
      <w:r>
        <w:rPr>
          <w:rFonts w:ascii="Times New Roman" w:hAnsi="Times New Roman" w:eastAsia="宋体"/>
          <w:spacing w:val="-3"/>
          <w:kern w:val="0"/>
          <w:sz w:val="24"/>
          <w:szCs w:val="24"/>
        </w:rPr>
        <w:t xml:space="preserve">45 </w:t>
      </w:r>
      <w:r>
        <w:rPr>
          <w:rFonts w:hint="eastAsia" w:ascii="Times New Roman" w:hAnsi="Times New Roman" w:eastAsia="宋体"/>
          <w:spacing w:val="-3"/>
          <w:kern w:val="0"/>
          <w:sz w:val="24"/>
          <w:szCs w:val="24"/>
        </w:rPr>
        <w:t>t/a和H</w:t>
      </w:r>
      <w:r>
        <w:rPr>
          <w:rFonts w:hint="eastAsia" w:ascii="Times New Roman" w:hAnsi="Times New Roman" w:eastAsia="宋体"/>
          <w:spacing w:val="-3"/>
          <w:kern w:val="0"/>
          <w:sz w:val="24"/>
          <w:szCs w:val="24"/>
          <w:vertAlign w:val="subscript"/>
        </w:rPr>
        <w:t>2</w:t>
      </w:r>
      <w:r>
        <w:rPr>
          <w:rFonts w:hint="eastAsia" w:ascii="Times New Roman" w:hAnsi="Times New Roman" w:eastAsia="宋体"/>
          <w:spacing w:val="-3"/>
          <w:kern w:val="0"/>
          <w:sz w:val="24"/>
          <w:szCs w:val="24"/>
        </w:rPr>
        <w:t>S</w:t>
      </w:r>
      <w:r>
        <w:rPr>
          <w:rFonts w:ascii="Times New Roman" w:hAnsi="Times New Roman" w:eastAsia="宋体"/>
          <w:spacing w:val="-3"/>
          <w:kern w:val="0"/>
          <w:sz w:val="24"/>
          <w:szCs w:val="24"/>
        </w:rPr>
        <w:t xml:space="preserve"> </w:t>
      </w:r>
      <w:r>
        <w:rPr>
          <w:rFonts w:hint="eastAsia" w:ascii="Times New Roman" w:hAnsi="Times New Roman" w:eastAsia="宋体"/>
          <w:spacing w:val="-3"/>
          <w:kern w:val="0"/>
          <w:sz w:val="24"/>
          <w:szCs w:val="24"/>
        </w:rPr>
        <w:t>0.002</w:t>
      </w:r>
      <w:r>
        <w:rPr>
          <w:rFonts w:ascii="Times New Roman" w:hAnsi="Times New Roman" w:eastAsia="宋体"/>
          <w:spacing w:val="-3"/>
          <w:kern w:val="0"/>
          <w:sz w:val="24"/>
          <w:szCs w:val="24"/>
        </w:rPr>
        <w:t xml:space="preserve">1 </w:t>
      </w:r>
      <w:r>
        <w:rPr>
          <w:rFonts w:hint="eastAsia" w:ascii="Times New Roman" w:hAnsi="Times New Roman" w:eastAsia="宋体"/>
          <w:spacing w:val="-3"/>
          <w:kern w:val="0"/>
          <w:sz w:val="24"/>
          <w:szCs w:val="24"/>
        </w:rPr>
        <w:t>t/a。经微生物吸附装置处理后的有机废气经 15m 高排气筒排放，排放量为NH</w:t>
      </w:r>
      <w:r>
        <w:rPr>
          <w:rFonts w:hint="eastAsia" w:ascii="Times New Roman" w:hAnsi="Times New Roman" w:eastAsia="宋体"/>
          <w:spacing w:val="-3"/>
          <w:kern w:val="0"/>
          <w:sz w:val="24"/>
          <w:szCs w:val="24"/>
          <w:vertAlign w:val="subscript"/>
        </w:rPr>
        <w:t>3</w:t>
      </w:r>
      <w:r>
        <w:rPr>
          <w:rFonts w:ascii="Times New Roman" w:hAnsi="Times New Roman" w:eastAsia="宋体"/>
          <w:spacing w:val="-3"/>
          <w:kern w:val="0"/>
          <w:sz w:val="24"/>
          <w:szCs w:val="24"/>
          <w:vertAlign w:val="subscript"/>
        </w:rPr>
        <w:t xml:space="preserve"> </w:t>
      </w:r>
      <w:r>
        <w:rPr>
          <w:rFonts w:hint="eastAsia" w:ascii="Times New Roman" w:hAnsi="Times New Roman" w:eastAsia="宋体"/>
          <w:spacing w:val="-3"/>
          <w:kern w:val="0"/>
          <w:sz w:val="24"/>
          <w:szCs w:val="24"/>
        </w:rPr>
        <w:t>0.04</w:t>
      </w:r>
      <w:r>
        <w:rPr>
          <w:rFonts w:ascii="Times New Roman" w:hAnsi="Times New Roman" w:eastAsia="宋体"/>
          <w:spacing w:val="-3"/>
          <w:kern w:val="0"/>
          <w:sz w:val="24"/>
          <w:szCs w:val="24"/>
        </w:rPr>
        <w:t>0</w:t>
      </w:r>
      <w:r>
        <w:rPr>
          <w:rFonts w:hint="eastAsia" w:ascii="Times New Roman" w:hAnsi="Times New Roman" w:eastAsia="宋体"/>
          <w:spacing w:val="-3"/>
          <w:kern w:val="0"/>
          <w:sz w:val="24"/>
          <w:szCs w:val="24"/>
        </w:rPr>
        <w:t>8</w:t>
      </w:r>
      <w:r>
        <w:rPr>
          <w:rFonts w:ascii="Times New Roman" w:hAnsi="Times New Roman" w:eastAsia="宋体"/>
          <w:spacing w:val="-3"/>
          <w:kern w:val="0"/>
          <w:sz w:val="24"/>
          <w:szCs w:val="24"/>
        </w:rPr>
        <w:t xml:space="preserve"> </w:t>
      </w:r>
      <w:r>
        <w:rPr>
          <w:rFonts w:hint="eastAsia" w:ascii="Times New Roman" w:hAnsi="Times New Roman" w:eastAsia="宋体"/>
          <w:spacing w:val="-3"/>
          <w:kern w:val="0"/>
          <w:sz w:val="24"/>
          <w:szCs w:val="24"/>
        </w:rPr>
        <w:t>t/a和H</w:t>
      </w:r>
      <w:r>
        <w:rPr>
          <w:rFonts w:hint="eastAsia" w:ascii="Times New Roman" w:hAnsi="Times New Roman" w:eastAsia="宋体"/>
          <w:spacing w:val="-3"/>
          <w:kern w:val="0"/>
          <w:sz w:val="24"/>
          <w:szCs w:val="24"/>
          <w:vertAlign w:val="subscript"/>
        </w:rPr>
        <w:t>2</w:t>
      </w:r>
      <w:r>
        <w:rPr>
          <w:rFonts w:hint="eastAsia" w:ascii="Times New Roman" w:hAnsi="Times New Roman" w:eastAsia="宋体"/>
          <w:spacing w:val="-3"/>
          <w:kern w:val="0"/>
          <w:sz w:val="24"/>
          <w:szCs w:val="24"/>
        </w:rPr>
        <w:t>S</w:t>
      </w:r>
      <w:r>
        <w:rPr>
          <w:rFonts w:ascii="Times New Roman" w:hAnsi="Times New Roman" w:eastAsia="宋体"/>
          <w:spacing w:val="-3"/>
          <w:kern w:val="0"/>
          <w:sz w:val="24"/>
          <w:szCs w:val="24"/>
        </w:rPr>
        <w:t xml:space="preserve"> </w:t>
      </w:r>
      <w:r>
        <w:rPr>
          <w:rFonts w:hint="eastAsia" w:ascii="Times New Roman" w:hAnsi="Times New Roman" w:eastAsia="宋体"/>
          <w:spacing w:val="-3"/>
          <w:kern w:val="0"/>
          <w:sz w:val="24"/>
          <w:szCs w:val="24"/>
        </w:rPr>
        <w:t>0.00</w:t>
      </w:r>
      <w:r>
        <w:rPr>
          <w:rFonts w:ascii="Times New Roman" w:hAnsi="Times New Roman" w:eastAsia="宋体"/>
          <w:spacing w:val="-3"/>
          <w:kern w:val="0"/>
          <w:sz w:val="24"/>
          <w:szCs w:val="24"/>
        </w:rPr>
        <w:t xml:space="preserve">188 </w:t>
      </w:r>
      <w:r>
        <w:rPr>
          <w:rFonts w:hint="eastAsia" w:ascii="Times New Roman" w:hAnsi="Times New Roman" w:eastAsia="宋体"/>
          <w:spacing w:val="-3"/>
          <w:kern w:val="0"/>
          <w:sz w:val="24"/>
          <w:szCs w:val="24"/>
        </w:rPr>
        <w:t>t/a。</w:t>
      </w:r>
    </w:p>
    <w:p>
      <w:pPr>
        <w:spacing w:line="480" w:lineRule="exact"/>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表3.8-</w:t>
      </w:r>
      <w:r>
        <w:rPr>
          <w:rFonts w:hint="eastAsia" w:ascii="Times New Roman" w:hAnsi="Times New Roman" w:eastAsia="黑体" w:cs="Times New Roman"/>
          <w:sz w:val="24"/>
          <w:szCs w:val="24"/>
        </w:rPr>
        <w:t>6</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污水处理站</w:t>
      </w:r>
      <w:r>
        <w:rPr>
          <w:rFonts w:ascii="Times New Roman" w:hAnsi="Times New Roman" w:eastAsia="黑体" w:cs="Times New Roman"/>
          <w:sz w:val="24"/>
          <w:szCs w:val="24"/>
        </w:rPr>
        <w:t>废气</w:t>
      </w:r>
      <w:r>
        <w:rPr>
          <w:rFonts w:hint="eastAsia" w:ascii="Times New Roman" w:hAnsi="Times New Roman" w:eastAsia="黑体" w:cs="Times New Roman"/>
          <w:sz w:val="24"/>
          <w:szCs w:val="24"/>
        </w:rPr>
        <w:t>有组织废气</w:t>
      </w:r>
      <w:r>
        <w:rPr>
          <w:rFonts w:ascii="Times New Roman" w:hAnsi="Times New Roman" w:eastAsia="黑体" w:cs="Times New Roman"/>
          <w:sz w:val="24"/>
          <w:szCs w:val="24"/>
        </w:rPr>
        <w:t>产生及排放量计算结果一览表</w:t>
      </w:r>
    </w:p>
    <w:tbl>
      <w:tblPr>
        <w:tblStyle w:val="20"/>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719"/>
        <w:gridCol w:w="666"/>
        <w:gridCol w:w="679"/>
        <w:gridCol w:w="598"/>
        <w:gridCol w:w="1250"/>
        <w:gridCol w:w="908"/>
        <w:gridCol w:w="557"/>
        <w:gridCol w:w="557"/>
        <w:gridCol w:w="557"/>
        <w:gridCol w:w="666"/>
        <w:gridCol w:w="679"/>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3" w:type="dxa"/>
            <w:vMerge w:val="restart"/>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污染物</w:t>
            </w:r>
          </w:p>
        </w:tc>
        <w:tc>
          <w:tcPr>
            <w:tcW w:w="719" w:type="dxa"/>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废气量</w:t>
            </w:r>
          </w:p>
        </w:tc>
        <w:tc>
          <w:tcPr>
            <w:tcW w:w="1943" w:type="dxa"/>
            <w:gridSpan w:val="3"/>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产生源强</w:t>
            </w:r>
          </w:p>
        </w:tc>
        <w:tc>
          <w:tcPr>
            <w:tcW w:w="1250" w:type="dxa"/>
            <w:vMerge w:val="restart"/>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治理措施/设备</w:t>
            </w:r>
          </w:p>
        </w:tc>
        <w:tc>
          <w:tcPr>
            <w:tcW w:w="908" w:type="dxa"/>
            <w:vMerge w:val="restart"/>
            <w:vAlign w:val="center"/>
          </w:tcPr>
          <w:p>
            <w:pPr>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效率(%）</w:t>
            </w:r>
          </w:p>
        </w:tc>
        <w:tc>
          <w:tcPr>
            <w:tcW w:w="1671" w:type="dxa"/>
            <w:gridSpan w:val="3"/>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排气筒</w:t>
            </w:r>
          </w:p>
        </w:tc>
        <w:tc>
          <w:tcPr>
            <w:tcW w:w="2105" w:type="dxa"/>
            <w:gridSpan w:val="3"/>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排放源强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3" w:type="dxa"/>
            <w:vMerge w:val="continue"/>
            <w:vAlign w:val="center"/>
          </w:tcPr>
          <w:p>
            <w:pPr>
              <w:widowControl/>
              <w:spacing w:line="240" w:lineRule="exact"/>
              <w:jc w:val="center"/>
              <w:rPr>
                <w:rFonts w:ascii="Times New Roman" w:hAnsi="Times New Roman" w:eastAsia="宋体"/>
                <w:kern w:val="0"/>
                <w:sz w:val="15"/>
                <w:szCs w:val="15"/>
              </w:rPr>
            </w:pPr>
          </w:p>
        </w:tc>
        <w:tc>
          <w:tcPr>
            <w:tcW w:w="719" w:type="dxa"/>
            <w:vMerge w:val="restart"/>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m</w:t>
            </w:r>
            <w:r>
              <w:rPr>
                <w:rFonts w:ascii="Times New Roman" w:hAnsi="Times New Roman" w:eastAsia="宋体"/>
                <w:kern w:val="0"/>
                <w:sz w:val="15"/>
                <w:szCs w:val="15"/>
                <w:vertAlign w:val="superscript"/>
              </w:rPr>
              <w:t>3</w:t>
            </w:r>
            <w:r>
              <w:rPr>
                <w:rFonts w:ascii="Times New Roman" w:hAnsi="Times New Roman" w:eastAsia="宋体"/>
                <w:kern w:val="0"/>
                <w:sz w:val="15"/>
                <w:szCs w:val="15"/>
              </w:rPr>
              <w:t>/h</w:t>
            </w:r>
          </w:p>
        </w:tc>
        <w:tc>
          <w:tcPr>
            <w:tcW w:w="666" w:type="dxa"/>
            <w:vMerge w:val="restart"/>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mg/m</w:t>
            </w:r>
            <w:r>
              <w:rPr>
                <w:rFonts w:ascii="Times New Roman" w:hAnsi="Times New Roman" w:eastAsia="宋体"/>
                <w:kern w:val="0"/>
                <w:sz w:val="15"/>
                <w:szCs w:val="15"/>
                <w:vertAlign w:val="superscript"/>
              </w:rPr>
              <w:t>3</w:t>
            </w:r>
          </w:p>
        </w:tc>
        <w:tc>
          <w:tcPr>
            <w:tcW w:w="679" w:type="dxa"/>
            <w:vMerge w:val="restart"/>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kg/h</w:t>
            </w:r>
          </w:p>
        </w:tc>
        <w:tc>
          <w:tcPr>
            <w:tcW w:w="598" w:type="dxa"/>
            <w:vMerge w:val="restart"/>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t/a</w:t>
            </w:r>
          </w:p>
        </w:tc>
        <w:tc>
          <w:tcPr>
            <w:tcW w:w="1250" w:type="dxa"/>
            <w:vMerge w:val="continue"/>
            <w:vAlign w:val="center"/>
          </w:tcPr>
          <w:p>
            <w:pPr>
              <w:widowControl/>
              <w:spacing w:line="240" w:lineRule="exact"/>
              <w:jc w:val="center"/>
              <w:rPr>
                <w:rFonts w:ascii="Times New Roman" w:hAnsi="Times New Roman" w:eastAsia="宋体"/>
                <w:kern w:val="0"/>
                <w:sz w:val="15"/>
                <w:szCs w:val="15"/>
              </w:rPr>
            </w:pPr>
          </w:p>
        </w:tc>
        <w:tc>
          <w:tcPr>
            <w:tcW w:w="908" w:type="dxa"/>
            <w:vMerge w:val="continue"/>
            <w:vAlign w:val="center"/>
          </w:tcPr>
          <w:p>
            <w:pPr>
              <w:widowControl/>
              <w:spacing w:line="240" w:lineRule="exact"/>
              <w:jc w:val="center"/>
              <w:rPr>
                <w:rFonts w:ascii="Times New Roman" w:hAnsi="Times New Roman" w:eastAsia="宋体"/>
                <w:kern w:val="0"/>
                <w:sz w:val="15"/>
                <w:szCs w:val="15"/>
              </w:rPr>
            </w:pPr>
          </w:p>
        </w:tc>
        <w:tc>
          <w:tcPr>
            <w:tcW w:w="557" w:type="dxa"/>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高度</w:t>
            </w:r>
          </w:p>
        </w:tc>
        <w:tc>
          <w:tcPr>
            <w:tcW w:w="557" w:type="dxa"/>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内径</w:t>
            </w:r>
          </w:p>
        </w:tc>
        <w:tc>
          <w:tcPr>
            <w:tcW w:w="557" w:type="dxa"/>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温度</w:t>
            </w:r>
          </w:p>
        </w:tc>
        <w:tc>
          <w:tcPr>
            <w:tcW w:w="666" w:type="dxa"/>
            <w:vMerge w:val="restart"/>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mg/m</w:t>
            </w:r>
            <w:r>
              <w:rPr>
                <w:rFonts w:ascii="Times New Roman" w:hAnsi="Times New Roman" w:eastAsia="宋体"/>
                <w:kern w:val="0"/>
                <w:sz w:val="15"/>
                <w:szCs w:val="15"/>
                <w:vertAlign w:val="superscript"/>
              </w:rPr>
              <w:t>3</w:t>
            </w:r>
          </w:p>
        </w:tc>
        <w:tc>
          <w:tcPr>
            <w:tcW w:w="679" w:type="dxa"/>
            <w:vMerge w:val="restart"/>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kg/h</w:t>
            </w:r>
          </w:p>
        </w:tc>
        <w:tc>
          <w:tcPr>
            <w:tcW w:w="760" w:type="dxa"/>
            <w:vMerge w:val="restart"/>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3" w:type="dxa"/>
            <w:vMerge w:val="continue"/>
            <w:vAlign w:val="center"/>
          </w:tcPr>
          <w:p>
            <w:pPr>
              <w:widowControl/>
              <w:spacing w:line="240" w:lineRule="exact"/>
              <w:jc w:val="center"/>
              <w:rPr>
                <w:rFonts w:ascii="Times New Roman" w:hAnsi="Times New Roman" w:eastAsia="宋体"/>
                <w:kern w:val="0"/>
                <w:sz w:val="15"/>
                <w:szCs w:val="15"/>
              </w:rPr>
            </w:pPr>
          </w:p>
        </w:tc>
        <w:tc>
          <w:tcPr>
            <w:tcW w:w="719" w:type="dxa"/>
            <w:vMerge w:val="continue"/>
            <w:vAlign w:val="center"/>
          </w:tcPr>
          <w:p>
            <w:pPr>
              <w:widowControl/>
              <w:spacing w:line="240" w:lineRule="exact"/>
              <w:jc w:val="center"/>
              <w:rPr>
                <w:rFonts w:ascii="Times New Roman" w:hAnsi="Times New Roman" w:eastAsia="宋体"/>
                <w:kern w:val="0"/>
                <w:sz w:val="15"/>
                <w:szCs w:val="15"/>
              </w:rPr>
            </w:pPr>
          </w:p>
        </w:tc>
        <w:tc>
          <w:tcPr>
            <w:tcW w:w="666" w:type="dxa"/>
            <w:vMerge w:val="continue"/>
            <w:vAlign w:val="center"/>
          </w:tcPr>
          <w:p>
            <w:pPr>
              <w:widowControl/>
              <w:spacing w:line="240" w:lineRule="exact"/>
              <w:jc w:val="center"/>
              <w:rPr>
                <w:rFonts w:ascii="Times New Roman" w:hAnsi="Times New Roman" w:eastAsia="宋体"/>
                <w:kern w:val="0"/>
                <w:sz w:val="15"/>
                <w:szCs w:val="15"/>
              </w:rPr>
            </w:pPr>
          </w:p>
        </w:tc>
        <w:tc>
          <w:tcPr>
            <w:tcW w:w="679" w:type="dxa"/>
            <w:vMerge w:val="continue"/>
            <w:vAlign w:val="center"/>
          </w:tcPr>
          <w:p>
            <w:pPr>
              <w:widowControl/>
              <w:spacing w:line="240" w:lineRule="exact"/>
              <w:jc w:val="center"/>
              <w:rPr>
                <w:rFonts w:ascii="Times New Roman" w:hAnsi="Times New Roman" w:eastAsia="宋体"/>
                <w:kern w:val="0"/>
                <w:sz w:val="15"/>
                <w:szCs w:val="15"/>
              </w:rPr>
            </w:pPr>
          </w:p>
        </w:tc>
        <w:tc>
          <w:tcPr>
            <w:tcW w:w="598" w:type="dxa"/>
            <w:vMerge w:val="continue"/>
            <w:vAlign w:val="center"/>
          </w:tcPr>
          <w:p>
            <w:pPr>
              <w:widowControl/>
              <w:spacing w:line="240" w:lineRule="exact"/>
              <w:jc w:val="center"/>
              <w:rPr>
                <w:rFonts w:ascii="Times New Roman" w:hAnsi="Times New Roman" w:eastAsia="宋体"/>
                <w:kern w:val="0"/>
                <w:sz w:val="15"/>
                <w:szCs w:val="15"/>
              </w:rPr>
            </w:pPr>
          </w:p>
        </w:tc>
        <w:tc>
          <w:tcPr>
            <w:tcW w:w="1250" w:type="dxa"/>
            <w:vMerge w:val="continue"/>
            <w:vAlign w:val="center"/>
          </w:tcPr>
          <w:p>
            <w:pPr>
              <w:widowControl/>
              <w:spacing w:line="240" w:lineRule="exact"/>
              <w:jc w:val="center"/>
              <w:rPr>
                <w:rFonts w:ascii="Times New Roman" w:hAnsi="Times New Roman" w:eastAsia="宋体"/>
                <w:kern w:val="0"/>
                <w:sz w:val="15"/>
                <w:szCs w:val="15"/>
              </w:rPr>
            </w:pPr>
          </w:p>
        </w:tc>
        <w:tc>
          <w:tcPr>
            <w:tcW w:w="908" w:type="dxa"/>
            <w:vMerge w:val="continue"/>
            <w:vAlign w:val="center"/>
          </w:tcPr>
          <w:p>
            <w:pPr>
              <w:widowControl/>
              <w:spacing w:line="240" w:lineRule="exact"/>
              <w:jc w:val="center"/>
              <w:rPr>
                <w:rFonts w:ascii="Times New Roman" w:hAnsi="Times New Roman" w:eastAsia="宋体"/>
                <w:kern w:val="0"/>
                <w:sz w:val="15"/>
                <w:szCs w:val="15"/>
              </w:rPr>
            </w:pPr>
          </w:p>
        </w:tc>
        <w:tc>
          <w:tcPr>
            <w:tcW w:w="557" w:type="dxa"/>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m</w:t>
            </w:r>
          </w:p>
        </w:tc>
        <w:tc>
          <w:tcPr>
            <w:tcW w:w="557" w:type="dxa"/>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m</w:t>
            </w:r>
          </w:p>
        </w:tc>
        <w:tc>
          <w:tcPr>
            <w:tcW w:w="557" w:type="dxa"/>
            <w:vAlign w:val="center"/>
          </w:tcPr>
          <w:p>
            <w:pPr>
              <w:widowControl/>
              <w:spacing w:line="240" w:lineRule="exact"/>
              <w:jc w:val="center"/>
              <w:rPr>
                <w:rFonts w:ascii="Times New Roman" w:hAnsi="Times New Roman" w:eastAsia="宋体"/>
                <w:kern w:val="0"/>
                <w:sz w:val="15"/>
                <w:szCs w:val="15"/>
              </w:rPr>
            </w:pPr>
            <w:r>
              <w:rPr>
                <w:rFonts w:hint="eastAsia" w:ascii="Times New Roman" w:hAnsi="Times New Roman" w:eastAsia="宋体"/>
                <w:kern w:val="0"/>
                <w:sz w:val="15"/>
                <w:szCs w:val="15"/>
              </w:rPr>
              <w:t>℃</w:t>
            </w:r>
          </w:p>
        </w:tc>
        <w:tc>
          <w:tcPr>
            <w:tcW w:w="666" w:type="dxa"/>
            <w:vMerge w:val="continue"/>
            <w:vAlign w:val="center"/>
          </w:tcPr>
          <w:p>
            <w:pPr>
              <w:widowControl/>
              <w:spacing w:line="240" w:lineRule="exact"/>
              <w:jc w:val="center"/>
              <w:rPr>
                <w:rFonts w:ascii="Times New Roman" w:hAnsi="Times New Roman" w:eastAsia="宋体"/>
                <w:kern w:val="0"/>
                <w:sz w:val="15"/>
                <w:szCs w:val="15"/>
              </w:rPr>
            </w:pPr>
          </w:p>
        </w:tc>
        <w:tc>
          <w:tcPr>
            <w:tcW w:w="679" w:type="dxa"/>
            <w:vMerge w:val="continue"/>
            <w:vAlign w:val="center"/>
          </w:tcPr>
          <w:p>
            <w:pPr>
              <w:widowControl/>
              <w:spacing w:line="240" w:lineRule="exact"/>
              <w:jc w:val="center"/>
              <w:rPr>
                <w:rFonts w:ascii="Times New Roman" w:hAnsi="Times New Roman" w:eastAsia="宋体"/>
                <w:kern w:val="0"/>
                <w:sz w:val="15"/>
                <w:szCs w:val="15"/>
              </w:rPr>
            </w:pPr>
          </w:p>
        </w:tc>
        <w:tc>
          <w:tcPr>
            <w:tcW w:w="760" w:type="dxa"/>
            <w:vMerge w:val="continue"/>
            <w:vAlign w:val="center"/>
          </w:tcPr>
          <w:p>
            <w:pPr>
              <w:widowControl/>
              <w:spacing w:line="240" w:lineRule="exact"/>
              <w:jc w:val="center"/>
              <w:rPr>
                <w:rFonts w:ascii="Times New Roman" w:hAnsi="Times New Roman" w:eastAsia="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3" w:type="dxa"/>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非甲烷总烃</w:t>
            </w:r>
          </w:p>
        </w:tc>
        <w:tc>
          <w:tcPr>
            <w:tcW w:w="719" w:type="dxa"/>
            <w:vMerge w:val="restart"/>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2000</w:t>
            </w:r>
          </w:p>
        </w:tc>
        <w:tc>
          <w:tcPr>
            <w:tcW w:w="666" w:type="dxa"/>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13.5</w:t>
            </w:r>
          </w:p>
        </w:tc>
        <w:tc>
          <w:tcPr>
            <w:tcW w:w="679" w:type="dxa"/>
            <w:vAlign w:val="center"/>
          </w:tcPr>
          <w:p>
            <w:pPr>
              <w:widowControl/>
              <w:spacing w:line="240" w:lineRule="exact"/>
              <w:jc w:val="center"/>
              <w:rPr>
                <w:rFonts w:ascii="Times New Roman" w:hAnsi="Times New Roman" w:eastAsia="宋体"/>
                <w:kern w:val="0"/>
                <w:sz w:val="15"/>
                <w:szCs w:val="15"/>
              </w:rPr>
            </w:pPr>
            <w:r>
              <w:rPr>
                <w:rFonts w:hint="eastAsia" w:ascii="Times New Roman" w:hAnsi="Times New Roman" w:eastAsia="宋体"/>
                <w:kern w:val="0"/>
                <w:sz w:val="15"/>
                <w:szCs w:val="15"/>
              </w:rPr>
              <w:t>0.027</w:t>
            </w:r>
          </w:p>
        </w:tc>
        <w:tc>
          <w:tcPr>
            <w:tcW w:w="598" w:type="dxa"/>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0.216</w:t>
            </w:r>
          </w:p>
        </w:tc>
        <w:tc>
          <w:tcPr>
            <w:tcW w:w="1250" w:type="dxa"/>
            <w:vMerge w:val="restart"/>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微生物吸附</w:t>
            </w:r>
          </w:p>
        </w:tc>
        <w:tc>
          <w:tcPr>
            <w:tcW w:w="908" w:type="dxa"/>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90</w:t>
            </w:r>
          </w:p>
        </w:tc>
        <w:tc>
          <w:tcPr>
            <w:tcW w:w="557" w:type="dxa"/>
            <w:vMerge w:val="restart"/>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15</w:t>
            </w:r>
          </w:p>
        </w:tc>
        <w:tc>
          <w:tcPr>
            <w:tcW w:w="557" w:type="dxa"/>
            <w:vMerge w:val="restart"/>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0.2</w:t>
            </w:r>
          </w:p>
        </w:tc>
        <w:tc>
          <w:tcPr>
            <w:tcW w:w="557" w:type="dxa"/>
            <w:vMerge w:val="restart"/>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25</w:t>
            </w:r>
          </w:p>
        </w:tc>
        <w:tc>
          <w:tcPr>
            <w:tcW w:w="666" w:type="dxa"/>
            <w:vAlign w:val="center"/>
          </w:tcPr>
          <w:p>
            <w:pPr>
              <w:widowControl/>
              <w:spacing w:line="240" w:lineRule="exact"/>
              <w:jc w:val="center"/>
              <w:rPr>
                <w:rFonts w:ascii="Times New Roman" w:hAnsi="Times New Roman" w:eastAsia="宋体"/>
                <w:kern w:val="0"/>
                <w:sz w:val="15"/>
                <w:szCs w:val="15"/>
              </w:rPr>
            </w:pPr>
            <w:r>
              <w:rPr>
                <w:rFonts w:hint="eastAsia" w:ascii="Times New Roman" w:hAnsi="Times New Roman" w:eastAsia="宋体"/>
                <w:kern w:val="0"/>
                <w:sz w:val="15"/>
                <w:szCs w:val="15"/>
              </w:rPr>
              <w:t>1.22</w:t>
            </w:r>
          </w:p>
        </w:tc>
        <w:tc>
          <w:tcPr>
            <w:tcW w:w="679" w:type="dxa"/>
            <w:vAlign w:val="center"/>
          </w:tcPr>
          <w:p>
            <w:pPr>
              <w:widowControl/>
              <w:spacing w:line="240" w:lineRule="exact"/>
              <w:jc w:val="center"/>
              <w:rPr>
                <w:rFonts w:ascii="Times New Roman" w:hAnsi="Times New Roman" w:eastAsia="宋体"/>
                <w:kern w:val="0"/>
                <w:sz w:val="15"/>
                <w:szCs w:val="15"/>
              </w:rPr>
            </w:pPr>
            <w:r>
              <w:rPr>
                <w:rFonts w:hint="eastAsia" w:ascii="Times New Roman" w:hAnsi="Times New Roman" w:eastAsia="宋体"/>
                <w:kern w:val="0"/>
                <w:sz w:val="15"/>
                <w:szCs w:val="15"/>
              </w:rPr>
              <w:t>0.0024</w:t>
            </w:r>
          </w:p>
        </w:tc>
        <w:tc>
          <w:tcPr>
            <w:tcW w:w="760" w:type="dxa"/>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0.01944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3" w:type="dxa"/>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NH</w:t>
            </w:r>
            <w:r>
              <w:rPr>
                <w:rFonts w:ascii="Times New Roman" w:hAnsi="Times New Roman" w:eastAsia="宋体"/>
                <w:kern w:val="0"/>
                <w:sz w:val="15"/>
                <w:szCs w:val="15"/>
                <w:vertAlign w:val="subscript"/>
              </w:rPr>
              <w:t>3</w:t>
            </w:r>
          </w:p>
        </w:tc>
        <w:tc>
          <w:tcPr>
            <w:tcW w:w="719" w:type="dxa"/>
            <w:vMerge w:val="continue"/>
            <w:vAlign w:val="center"/>
          </w:tcPr>
          <w:p>
            <w:pPr>
              <w:widowControl/>
              <w:spacing w:line="240" w:lineRule="exact"/>
              <w:jc w:val="center"/>
              <w:rPr>
                <w:rFonts w:ascii="Times New Roman" w:hAnsi="Times New Roman" w:eastAsia="宋体"/>
                <w:kern w:val="0"/>
                <w:sz w:val="15"/>
                <w:szCs w:val="15"/>
              </w:rPr>
            </w:pPr>
          </w:p>
        </w:tc>
        <w:tc>
          <w:tcPr>
            <w:tcW w:w="666" w:type="dxa"/>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28.36</w:t>
            </w:r>
          </w:p>
        </w:tc>
        <w:tc>
          <w:tcPr>
            <w:tcW w:w="679" w:type="dxa"/>
            <w:vAlign w:val="center"/>
          </w:tcPr>
          <w:p>
            <w:pPr>
              <w:widowControl/>
              <w:spacing w:line="240" w:lineRule="exact"/>
              <w:jc w:val="center"/>
              <w:rPr>
                <w:rFonts w:ascii="Times New Roman" w:hAnsi="Times New Roman" w:eastAsia="宋体"/>
                <w:kern w:val="0"/>
                <w:sz w:val="15"/>
                <w:szCs w:val="15"/>
              </w:rPr>
            </w:pPr>
            <w:r>
              <w:rPr>
                <w:rFonts w:hint="eastAsia" w:ascii="Times New Roman" w:hAnsi="Times New Roman" w:eastAsia="宋体"/>
                <w:kern w:val="0"/>
                <w:sz w:val="15"/>
                <w:szCs w:val="15"/>
              </w:rPr>
              <w:t>0.0</w:t>
            </w:r>
            <w:r>
              <w:rPr>
                <w:rFonts w:ascii="Times New Roman" w:hAnsi="Times New Roman" w:eastAsia="宋体"/>
                <w:kern w:val="0"/>
                <w:sz w:val="15"/>
                <w:szCs w:val="15"/>
              </w:rPr>
              <w:t>567</w:t>
            </w:r>
          </w:p>
        </w:tc>
        <w:tc>
          <w:tcPr>
            <w:tcW w:w="598" w:type="dxa"/>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0.45</w:t>
            </w:r>
          </w:p>
        </w:tc>
        <w:tc>
          <w:tcPr>
            <w:tcW w:w="1250" w:type="dxa"/>
            <w:vMerge w:val="continue"/>
            <w:vAlign w:val="center"/>
          </w:tcPr>
          <w:p>
            <w:pPr>
              <w:widowControl/>
              <w:spacing w:line="240" w:lineRule="exact"/>
              <w:jc w:val="center"/>
              <w:rPr>
                <w:rFonts w:ascii="Times New Roman" w:hAnsi="Times New Roman" w:eastAsia="宋体"/>
                <w:kern w:val="0"/>
                <w:sz w:val="15"/>
                <w:szCs w:val="15"/>
              </w:rPr>
            </w:pPr>
          </w:p>
        </w:tc>
        <w:tc>
          <w:tcPr>
            <w:tcW w:w="908" w:type="dxa"/>
            <w:vMerge w:val="restart"/>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90</w:t>
            </w:r>
          </w:p>
        </w:tc>
        <w:tc>
          <w:tcPr>
            <w:tcW w:w="557" w:type="dxa"/>
            <w:vMerge w:val="continue"/>
            <w:vAlign w:val="center"/>
          </w:tcPr>
          <w:p>
            <w:pPr>
              <w:widowControl/>
              <w:spacing w:line="240" w:lineRule="exact"/>
              <w:jc w:val="center"/>
              <w:rPr>
                <w:rFonts w:ascii="Times New Roman" w:hAnsi="Times New Roman" w:eastAsia="宋体"/>
                <w:kern w:val="0"/>
                <w:sz w:val="15"/>
                <w:szCs w:val="15"/>
              </w:rPr>
            </w:pPr>
          </w:p>
        </w:tc>
        <w:tc>
          <w:tcPr>
            <w:tcW w:w="557" w:type="dxa"/>
            <w:vMerge w:val="continue"/>
            <w:vAlign w:val="center"/>
          </w:tcPr>
          <w:p>
            <w:pPr>
              <w:widowControl/>
              <w:spacing w:line="240" w:lineRule="exact"/>
              <w:jc w:val="center"/>
              <w:rPr>
                <w:rFonts w:ascii="Times New Roman" w:hAnsi="Times New Roman" w:eastAsia="宋体"/>
                <w:kern w:val="0"/>
                <w:sz w:val="15"/>
                <w:szCs w:val="15"/>
              </w:rPr>
            </w:pPr>
          </w:p>
        </w:tc>
        <w:tc>
          <w:tcPr>
            <w:tcW w:w="557" w:type="dxa"/>
            <w:vMerge w:val="continue"/>
            <w:vAlign w:val="center"/>
          </w:tcPr>
          <w:p>
            <w:pPr>
              <w:widowControl/>
              <w:spacing w:line="240" w:lineRule="exact"/>
              <w:jc w:val="center"/>
              <w:rPr>
                <w:rFonts w:ascii="Times New Roman" w:hAnsi="Times New Roman" w:eastAsia="宋体"/>
                <w:kern w:val="0"/>
                <w:sz w:val="15"/>
                <w:szCs w:val="15"/>
              </w:rPr>
            </w:pPr>
          </w:p>
        </w:tc>
        <w:tc>
          <w:tcPr>
            <w:tcW w:w="666" w:type="dxa"/>
            <w:vAlign w:val="center"/>
          </w:tcPr>
          <w:p>
            <w:pPr>
              <w:widowControl/>
              <w:spacing w:line="240" w:lineRule="exact"/>
              <w:jc w:val="center"/>
              <w:rPr>
                <w:rFonts w:ascii="Times New Roman" w:hAnsi="Times New Roman" w:eastAsia="宋体"/>
                <w:kern w:val="0"/>
                <w:sz w:val="15"/>
                <w:szCs w:val="15"/>
              </w:rPr>
            </w:pPr>
            <w:r>
              <w:rPr>
                <w:rFonts w:hint="eastAsia" w:ascii="Times New Roman" w:hAnsi="Times New Roman" w:eastAsia="宋体"/>
                <w:kern w:val="0"/>
                <w:sz w:val="15"/>
                <w:szCs w:val="15"/>
              </w:rPr>
              <w:t>2.55</w:t>
            </w:r>
          </w:p>
        </w:tc>
        <w:tc>
          <w:tcPr>
            <w:tcW w:w="679" w:type="dxa"/>
            <w:vAlign w:val="center"/>
          </w:tcPr>
          <w:p>
            <w:pPr>
              <w:widowControl/>
              <w:spacing w:line="240" w:lineRule="exact"/>
              <w:jc w:val="center"/>
              <w:rPr>
                <w:rFonts w:ascii="Times New Roman" w:hAnsi="Times New Roman" w:eastAsia="宋体"/>
                <w:kern w:val="0"/>
                <w:sz w:val="15"/>
                <w:szCs w:val="15"/>
              </w:rPr>
            </w:pPr>
            <w:r>
              <w:rPr>
                <w:rFonts w:hint="eastAsia" w:ascii="Times New Roman" w:hAnsi="Times New Roman" w:eastAsia="宋体"/>
                <w:kern w:val="0"/>
                <w:sz w:val="15"/>
                <w:szCs w:val="15"/>
              </w:rPr>
              <w:t>0.0051</w:t>
            </w:r>
          </w:p>
        </w:tc>
        <w:tc>
          <w:tcPr>
            <w:tcW w:w="760" w:type="dxa"/>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0.0408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3" w:type="dxa"/>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H</w:t>
            </w:r>
            <w:r>
              <w:rPr>
                <w:rFonts w:ascii="Times New Roman" w:hAnsi="Times New Roman" w:eastAsia="宋体"/>
                <w:kern w:val="0"/>
                <w:sz w:val="15"/>
                <w:szCs w:val="15"/>
                <w:vertAlign w:val="subscript"/>
              </w:rPr>
              <w:t>2</w:t>
            </w:r>
            <w:r>
              <w:rPr>
                <w:rFonts w:ascii="Times New Roman" w:hAnsi="Times New Roman" w:eastAsia="宋体"/>
                <w:kern w:val="0"/>
                <w:sz w:val="15"/>
                <w:szCs w:val="15"/>
              </w:rPr>
              <w:t>S</w:t>
            </w:r>
          </w:p>
        </w:tc>
        <w:tc>
          <w:tcPr>
            <w:tcW w:w="719" w:type="dxa"/>
            <w:vMerge w:val="continue"/>
            <w:vAlign w:val="center"/>
          </w:tcPr>
          <w:p>
            <w:pPr>
              <w:widowControl/>
              <w:spacing w:line="240" w:lineRule="exact"/>
              <w:jc w:val="center"/>
              <w:rPr>
                <w:rFonts w:ascii="Times New Roman" w:hAnsi="Times New Roman" w:eastAsia="宋体"/>
                <w:kern w:val="0"/>
                <w:sz w:val="15"/>
                <w:szCs w:val="15"/>
              </w:rPr>
            </w:pPr>
          </w:p>
        </w:tc>
        <w:tc>
          <w:tcPr>
            <w:tcW w:w="666" w:type="dxa"/>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1.31</w:t>
            </w:r>
          </w:p>
        </w:tc>
        <w:tc>
          <w:tcPr>
            <w:tcW w:w="679" w:type="dxa"/>
            <w:vAlign w:val="center"/>
          </w:tcPr>
          <w:p>
            <w:pPr>
              <w:widowControl/>
              <w:spacing w:line="240" w:lineRule="exact"/>
              <w:jc w:val="center"/>
              <w:rPr>
                <w:rFonts w:ascii="Times New Roman" w:hAnsi="Times New Roman" w:eastAsia="宋体"/>
                <w:kern w:val="0"/>
                <w:sz w:val="15"/>
                <w:szCs w:val="15"/>
              </w:rPr>
            </w:pPr>
            <w:r>
              <w:rPr>
                <w:rFonts w:hint="eastAsia" w:ascii="Times New Roman" w:hAnsi="Times New Roman" w:eastAsia="宋体"/>
                <w:kern w:val="0"/>
                <w:sz w:val="15"/>
                <w:szCs w:val="15"/>
              </w:rPr>
              <w:t>0.0026</w:t>
            </w:r>
          </w:p>
        </w:tc>
        <w:tc>
          <w:tcPr>
            <w:tcW w:w="598" w:type="dxa"/>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0.021</w:t>
            </w:r>
          </w:p>
        </w:tc>
        <w:tc>
          <w:tcPr>
            <w:tcW w:w="1250" w:type="dxa"/>
            <w:vMerge w:val="continue"/>
            <w:vAlign w:val="center"/>
          </w:tcPr>
          <w:p>
            <w:pPr>
              <w:widowControl/>
              <w:spacing w:line="240" w:lineRule="exact"/>
              <w:jc w:val="center"/>
              <w:rPr>
                <w:rFonts w:ascii="Times New Roman" w:hAnsi="Times New Roman" w:eastAsia="宋体"/>
                <w:kern w:val="0"/>
                <w:sz w:val="15"/>
                <w:szCs w:val="15"/>
              </w:rPr>
            </w:pPr>
          </w:p>
        </w:tc>
        <w:tc>
          <w:tcPr>
            <w:tcW w:w="908" w:type="dxa"/>
            <w:vMerge w:val="continue"/>
            <w:vAlign w:val="center"/>
          </w:tcPr>
          <w:p>
            <w:pPr>
              <w:widowControl/>
              <w:spacing w:line="240" w:lineRule="exact"/>
              <w:jc w:val="center"/>
              <w:rPr>
                <w:rFonts w:ascii="Times New Roman" w:hAnsi="Times New Roman" w:eastAsia="宋体"/>
                <w:kern w:val="0"/>
                <w:sz w:val="15"/>
                <w:szCs w:val="15"/>
              </w:rPr>
            </w:pPr>
          </w:p>
        </w:tc>
        <w:tc>
          <w:tcPr>
            <w:tcW w:w="557" w:type="dxa"/>
            <w:vMerge w:val="continue"/>
            <w:vAlign w:val="center"/>
          </w:tcPr>
          <w:p>
            <w:pPr>
              <w:widowControl/>
              <w:spacing w:line="240" w:lineRule="exact"/>
              <w:jc w:val="center"/>
              <w:rPr>
                <w:rFonts w:ascii="Times New Roman" w:hAnsi="Times New Roman" w:eastAsia="宋体"/>
                <w:kern w:val="0"/>
                <w:sz w:val="15"/>
                <w:szCs w:val="15"/>
              </w:rPr>
            </w:pPr>
          </w:p>
        </w:tc>
        <w:tc>
          <w:tcPr>
            <w:tcW w:w="557" w:type="dxa"/>
            <w:vMerge w:val="continue"/>
            <w:vAlign w:val="center"/>
          </w:tcPr>
          <w:p>
            <w:pPr>
              <w:widowControl/>
              <w:spacing w:line="240" w:lineRule="exact"/>
              <w:jc w:val="center"/>
              <w:rPr>
                <w:rFonts w:ascii="Times New Roman" w:hAnsi="Times New Roman" w:eastAsia="宋体"/>
                <w:kern w:val="0"/>
                <w:sz w:val="15"/>
                <w:szCs w:val="15"/>
              </w:rPr>
            </w:pPr>
          </w:p>
        </w:tc>
        <w:tc>
          <w:tcPr>
            <w:tcW w:w="557" w:type="dxa"/>
            <w:vMerge w:val="continue"/>
            <w:vAlign w:val="center"/>
          </w:tcPr>
          <w:p>
            <w:pPr>
              <w:widowControl/>
              <w:spacing w:line="240" w:lineRule="exact"/>
              <w:jc w:val="center"/>
              <w:rPr>
                <w:rFonts w:ascii="Times New Roman" w:hAnsi="Times New Roman" w:eastAsia="宋体"/>
                <w:kern w:val="0"/>
                <w:sz w:val="15"/>
                <w:szCs w:val="15"/>
              </w:rPr>
            </w:pPr>
          </w:p>
        </w:tc>
        <w:tc>
          <w:tcPr>
            <w:tcW w:w="666" w:type="dxa"/>
            <w:vAlign w:val="center"/>
          </w:tcPr>
          <w:p>
            <w:pPr>
              <w:widowControl/>
              <w:spacing w:line="240" w:lineRule="exact"/>
              <w:jc w:val="center"/>
              <w:rPr>
                <w:rFonts w:ascii="Times New Roman" w:hAnsi="Times New Roman" w:eastAsia="宋体"/>
                <w:kern w:val="0"/>
                <w:sz w:val="15"/>
                <w:szCs w:val="15"/>
              </w:rPr>
            </w:pPr>
            <w:r>
              <w:rPr>
                <w:rFonts w:hint="eastAsia" w:ascii="Times New Roman" w:hAnsi="Times New Roman" w:eastAsia="宋体"/>
                <w:kern w:val="0"/>
                <w:sz w:val="15"/>
                <w:szCs w:val="15"/>
              </w:rPr>
              <w:t>0.12</w:t>
            </w:r>
          </w:p>
        </w:tc>
        <w:tc>
          <w:tcPr>
            <w:tcW w:w="679" w:type="dxa"/>
            <w:vAlign w:val="center"/>
          </w:tcPr>
          <w:p>
            <w:pPr>
              <w:widowControl/>
              <w:spacing w:line="240" w:lineRule="exact"/>
              <w:jc w:val="center"/>
              <w:rPr>
                <w:rFonts w:ascii="Times New Roman" w:hAnsi="Times New Roman" w:eastAsia="宋体"/>
                <w:kern w:val="0"/>
                <w:sz w:val="15"/>
                <w:szCs w:val="15"/>
              </w:rPr>
            </w:pPr>
            <w:r>
              <w:rPr>
                <w:rFonts w:hint="eastAsia" w:ascii="Times New Roman" w:hAnsi="Times New Roman" w:eastAsia="宋体"/>
                <w:kern w:val="0"/>
                <w:sz w:val="15"/>
                <w:szCs w:val="15"/>
              </w:rPr>
              <w:t>0.0002</w:t>
            </w:r>
          </w:p>
        </w:tc>
        <w:tc>
          <w:tcPr>
            <w:tcW w:w="760" w:type="dxa"/>
            <w:vAlign w:val="center"/>
          </w:tcPr>
          <w:p>
            <w:pPr>
              <w:widowControl/>
              <w:spacing w:line="240" w:lineRule="exact"/>
              <w:jc w:val="center"/>
              <w:rPr>
                <w:rFonts w:ascii="Times New Roman" w:hAnsi="Times New Roman" w:eastAsia="宋体"/>
                <w:kern w:val="0"/>
                <w:sz w:val="15"/>
                <w:szCs w:val="15"/>
              </w:rPr>
            </w:pPr>
            <w:r>
              <w:rPr>
                <w:rFonts w:ascii="Times New Roman" w:hAnsi="Times New Roman" w:eastAsia="宋体"/>
                <w:kern w:val="0"/>
                <w:sz w:val="15"/>
                <w:szCs w:val="15"/>
              </w:rPr>
              <w:t>0.00188</w:t>
            </w:r>
          </w:p>
        </w:tc>
      </w:tr>
    </w:tbl>
    <w:p>
      <w:pPr>
        <w:pStyle w:val="33"/>
        <w:jc w:val="both"/>
        <w:rPr>
          <w:color w:val="auto"/>
        </w:rPr>
      </w:pPr>
      <w:r>
        <w:rPr>
          <w:rFonts w:hint="eastAsia"/>
          <w:color w:val="auto"/>
        </w:rPr>
        <w:t>3.8.1.3 废气非正常排放</w:t>
      </w:r>
    </w:p>
    <w:p>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本项目产生非正常排放废气的情况主要为设备管道压力不稳定，压力过髙时放气，废气吸收和处理设施运行不正常时，不凝气从地面火炬燃烧后排放。</w:t>
      </w:r>
    </w:p>
    <w:p>
      <w:pPr>
        <w:spacing w:line="480" w:lineRule="exact"/>
        <w:ind w:firstLine="482" w:firstLineChars="200"/>
        <w:rPr>
          <w:rFonts w:ascii="Times New Roman" w:hAnsi="Times New Roman" w:eastAsia="宋体"/>
          <w:kern w:val="0"/>
          <w:sz w:val="24"/>
          <w:szCs w:val="24"/>
        </w:rPr>
      </w:pPr>
      <w:r>
        <w:rPr>
          <w:rFonts w:hint="eastAsia" w:ascii="Times New Roman" w:hAnsi="Times New Roman" w:eastAsia="宋体"/>
          <w:b/>
          <w:kern w:val="0"/>
          <w:sz w:val="24"/>
          <w:szCs w:val="24"/>
        </w:rPr>
        <w:t>项目变更前后，</w:t>
      </w:r>
      <w:r>
        <w:rPr>
          <w:rFonts w:ascii="Times New Roman" w:hAnsi="Times New Roman" w:eastAsia="宋体"/>
          <w:b/>
          <w:kern w:val="0"/>
          <w:sz w:val="24"/>
          <w:szCs w:val="24"/>
        </w:rPr>
        <w:t>不凝气</w:t>
      </w:r>
      <w:r>
        <w:rPr>
          <w:rFonts w:hint="eastAsia" w:ascii="Times New Roman" w:hAnsi="Times New Roman" w:eastAsia="宋体"/>
          <w:b/>
          <w:kern w:val="0"/>
          <w:sz w:val="24"/>
          <w:szCs w:val="24"/>
        </w:rPr>
        <w:t>产生量不变，非正常情况下废气排放量不变。</w:t>
      </w:r>
    </w:p>
    <w:p>
      <w:pPr>
        <w:spacing w:line="480" w:lineRule="exact"/>
        <w:ind w:firstLine="480" w:firstLineChars="200"/>
        <w:rPr>
          <w:rFonts w:ascii="Times New Roman" w:hAnsi="Times New Roman" w:eastAsia="宋体"/>
          <w:kern w:val="0"/>
          <w:sz w:val="24"/>
          <w:szCs w:val="24"/>
        </w:rPr>
      </w:pPr>
      <w:r>
        <w:rPr>
          <w:rFonts w:ascii="Times New Roman" w:hAnsi="Times New Roman" w:eastAsia="宋体"/>
          <w:kern w:val="0"/>
          <w:sz w:val="24"/>
          <w:szCs w:val="24"/>
        </w:rPr>
        <w:t>本项目考虑以下</w:t>
      </w:r>
      <w:r>
        <w:rPr>
          <w:rFonts w:hint="eastAsia" w:ascii="Times New Roman" w:hAnsi="Times New Roman" w:eastAsia="宋体"/>
          <w:kern w:val="0"/>
          <w:sz w:val="24"/>
          <w:szCs w:val="24"/>
        </w:rPr>
        <w:t>1</w:t>
      </w:r>
      <w:r>
        <w:rPr>
          <w:rFonts w:ascii="Times New Roman" w:hAnsi="Times New Roman" w:eastAsia="宋体"/>
          <w:kern w:val="0"/>
          <w:sz w:val="24"/>
          <w:szCs w:val="24"/>
        </w:rPr>
        <w:t>种最不利的情况：</w:t>
      </w:r>
      <w:r>
        <w:rPr>
          <w:rFonts w:hint="eastAsia" w:ascii="Times New Roman" w:hAnsi="Times New Roman" w:eastAsia="宋体"/>
          <w:kern w:val="0"/>
          <w:sz w:val="24"/>
          <w:szCs w:val="24"/>
        </w:rPr>
        <w:t>生产车间</w:t>
      </w:r>
      <w:r>
        <w:rPr>
          <w:rFonts w:ascii="Times New Roman" w:hAnsi="Times New Roman" w:eastAsia="宋体"/>
          <w:kern w:val="0"/>
          <w:sz w:val="24"/>
          <w:szCs w:val="24"/>
        </w:rPr>
        <w:t>管线也破损，不凝气在生产车间呈无组织排放。</w:t>
      </w:r>
    </w:p>
    <w:p>
      <w:pPr>
        <w:spacing w:line="480" w:lineRule="exact"/>
        <w:ind w:firstLine="480" w:firstLineChars="200"/>
        <w:rPr>
          <w:rFonts w:ascii="Times New Roman" w:hAnsi="Times New Roman" w:eastAsia="宋体"/>
          <w:kern w:val="0"/>
          <w:sz w:val="24"/>
          <w:szCs w:val="24"/>
        </w:rPr>
      </w:pPr>
      <w:r>
        <w:rPr>
          <w:rFonts w:ascii="Times New Roman" w:hAnsi="Times New Roman" w:eastAsia="宋体"/>
          <w:kern w:val="0"/>
          <w:sz w:val="24"/>
          <w:szCs w:val="24"/>
        </w:rPr>
        <w:t>根据建设单位和设计单位提供的资料，</w:t>
      </w:r>
      <w:bookmarkStart w:id="45" w:name="_Hlk505171610"/>
      <w:r>
        <w:rPr>
          <w:rFonts w:ascii="Times New Roman" w:hAnsi="Times New Roman" w:eastAsia="宋体"/>
          <w:kern w:val="0"/>
          <w:sz w:val="24"/>
          <w:szCs w:val="24"/>
        </w:rPr>
        <w:t>本项目事故状态下废气及其污染物排放情况见表3.8-7。</w:t>
      </w:r>
      <w:bookmarkStart w:id="46" w:name="_Hlk505171660"/>
    </w:p>
    <w:p>
      <w:pPr>
        <w:spacing w:line="480" w:lineRule="exact"/>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表3.8-7</w:t>
      </w:r>
      <w:r>
        <w:rPr>
          <w:rFonts w:hint="eastAsia" w:ascii="Times New Roman" w:hAnsi="Times New Roman" w:eastAsia="黑体" w:cs="Times New Roman"/>
          <w:sz w:val="24"/>
          <w:szCs w:val="24"/>
        </w:rPr>
        <w:t xml:space="preserve"> </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 xml:space="preserve"> 非正常排放</w:t>
      </w:r>
      <w:r>
        <w:rPr>
          <w:rFonts w:ascii="Times New Roman" w:hAnsi="Times New Roman" w:eastAsia="黑体" w:cs="Times New Roman"/>
          <w:sz w:val="24"/>
          <w:szCs w:val="24"/>
        </w:rPr>
        <w:t>废气污染物排放强度及排放参数一览表</w:t>
      </w:r>
    </w:p>
    <w:tbl>
      <w:tblPr>
        <w:tblStyle w:val="19"/>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987"/>
        <w:gridCol w:w="851"/>
        <w:gridCol w:w="898"/>
        <w:gridCol w:w="1229"/>
        <w:gridCol w:w="830"/>
        <w:gridCol w:w="846"/>
        <w:gridCol w:w="977"/>
        <w:gridCol w:w="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1" w:hRule="exact"/>
          <w:jc w:val="center"/>
        </w:trPr>
        <w:tc>
          <w:tcPr>
            <w:tcW w:w="709"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事故</w:t>
            </w:r>
          </w:p>
        </w:tc>
        <w:tc>
          <w:tcPr>
            <w:tcW w:w="987"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废气</w:t>
            </w:r>
          </w:p>
          <w:p>
            <w:pPr>
              <w:widowControl/>
              <w:jc w:val="center"/>
              <w:rPr>
                <w:rFonts w:ascii="Times New Roman" w:hAnsi="Times New Roman" w:eastAsia="宋体"/>
                <w:kern w:val="0"/>
                <w:szCs w:val="21"/>
              </w:rPr>
            </w:pPr>
            <w:r>
              <w:rPr>
                <w:rFonts w:ascii="Times New Roman" w:hAnsi="Times New Roman" w:eastAsia="宋体"/>
                <w:kern w:val="0"/>
                <w:szCs w:val="21"/>
              </w:rPr>
              <w:t>来源</w:t>
            </w:r>
          </w:p>
        </w:tc>
        <w:tc>
          <w:tcPr>
            <w:tcW w:w="851"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废气量</w:t>
            </w:r>
          </w:p>
          <w:p>
            <w:pPr>
              <w:widowControl/>
              <w:jc w:val="center"/>
              <w:rPr>
                <w:rFonts w:ascii="Times New Roman" w:hAnsi="Times New Roman" w:eastAsia="宋体"/>
                <w:kern w:val="0"/>
                <w:szCs w:val="21"/>
              </w:rPr>
            </w:pPr>
            <w:r>
              <w:rPr>
                <w:rFonts w:ascii="Times New Roman" w:hAnsi="Times New Roman" w:eastAsia="宋体"/>
                <w:kern w:val="0"/>
                <w:szCs w:val="21"/>
              </w:rPr>
              <w:t>（m³/h</w:t>
            </w:r>
            <w:r>
              <w:rPr>
                <w:rFonts w:hint="eastAsia" w:ascii="Times New Roman" w:hAnsi="Times New Roman" w:eastAsia="宋体"/>
                <w:kern w:val="0"/>
                <w:szCs w:val="21"/>
              </w:rPr>
              <w:t>）</w:t>
            </w:r>
          </w:p>
        </w:tc>
        <w:tc>
          <w:tcPr>
            <w:tcW w:w="898"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排放参数</w:t>
            </w:r>
          </w:p>
        </w:tc>
        <w:tc>
          <w:tcPr>
            <w:tcW w:w="1229"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主要污染物</w:t>
            </w:r>
          </w:p>
        </w:tc>
        <w:tc>
          <w:tcPr>
            <w:tcW w:w="1676" w:type="dxa"/>
            <w:gridSpan w:val="2"/>
            <w:vAlign w:val="center"/>
          </w:tcPr>
          <w:p>
            <w:pPr>
              <w:widowControl/>
              <w:jc w:val="center"/>
              <w:rPr>
                <w:rFonts w:ascii="Times New Roman" w:hAnsi="Times New Roman" w:eastAsia="宋体"/>
                <w:kern w:val="0"/>
                <w:szCs w:val="21"/>
              </w:rPr>
            </w:pPr>
            <w:r>
              <w:rPr>
                <w:rFonts w:ascii="Times New Roman" w:hAnsi="Times New Roman" w:eastAsia="宋体"/>
                <w:kern w:val="0"/>
                <w:szCs w:val="21"/>
              </w:rPr>
              <w:t>产生情况</w:t>
            </w:r>
          </w:p>
        </w:tc>
        <w:tc>
          <w:tcPr>
            <w:tcW w:w="1946" w:type="dxa"/>
            <w:gridSpan w:val="2"/>
            <w:vAlign w:val="center"/>
          </w:tcPr>
          <w:p>
            <w:pPr>
              <w:widowControl/>
              <w:jc w:val="center"/>
              <w:rPr>
                <w:rFonts w:ascii="Times New Roman" w:hAnsi="Times New Roman" w:eastAsia="宋体"/>
                <w:kern w:val="0"/>
                <w:szCs w:val="21"/>
              </w:rPr>
            </w:pPr>
            <w:r>
              <w:rPr>
                <w:rFonts w:ascii="Times New Roman" w:hAnsi="Times New Roman" w:eastAsia="宋体"/>
                <w:kern w:val="0"/>
                <w:szCs w:val="21"/>
              </w:rPr>
              <w:t>排放情况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exact"/>
          <w:jc w:val="center"/>
        </w:trPr>
        <w:tc>
          <w:tcPr>
            <w:tcW w:w="709" w:type="dxa"/>
            <w:vMerge w:val="continue"/>
            <w:vAlign w:val="center"/>
          </w:tcPr>
          <w:p>
            <w:pPr>
              <w:widowControl/>
              <w:jc w:val="center"/>
              <w:rPr>
                <w:rFonts w:ascii="Times New Roman" w:hAnsi="Times New Roman" w:eastAsia="宋体"/>
                <w:kern w:val="0"/>
                <w:szCs w:val="21"/>
              </w:rPr>
            </w:pPr>
          </w:p>
        </w:tc>
        <w:tc>
          <w:tcPr>
            <w:tcW w:w="987" w:type="dxa"/>
            <w:vMerge w:val="continue"/>
            <w:vAlign w:val="center"/>
          </w:tcPr>
          <w:p>
            <w:pPr>
              <w:widowControl/>
              <w:jc w:val="center"/>
              <w:rPr>
                <w:rFonts w:ascii="Times New Roman" w:hAnsi="Times New Roman" w:eastAsia="宋体"/>
                <w:kern w:val="0"/>
                <w:szCs w:val="21"/>
              </w:rPr>
            </w:pPr>
          </w:p>
        </w:tc>
        <w:tc>
          <w:tcPr>
            <w:tcW w:w="851" w:type="dxa"/>
            <w:vMerge w:val="continue"/>
            <w:vAlign w:val="center"/>
          </w:tcPr>
          <w:p>
            <w:pPr>
              <w:widowControl/>
              <w:jc w:val="center"/>
              <w:rPr>
                <w:rFonts w:ascii="Times New Roman" w:hAnsi="Times New Roman" w:eastAsia="宋体"/>
                <w:kern w:val="0"/>
                <w:szCs w:val="21"/>
              </w:rPr>
            </w:pPr>
          </w:p>
        </w:tc>
        <w:tc>
          <w:tcPr>
            <w:tcW w:w="898" w:type="dxa"/>
            <w:vMerge w:val="continue"/>
            <w:vAlign w:val="center"/>
          </w:tcPr>
          <w:p>
            <w:pPr>
              <w:widowControl/>
              <w:jc w:val="center"/>
              <w:rPr>
                <w:rFonts w:ascii="Times New Roman" w:hAnsi="Times New Roman" w:eastAsia="宋体"/>
                <w:kern w:val="0"/>
                <w:szCs w:val="21"/>
              </w:rPr>
            </w:pPr>
          </w:p>
        </w:tc>
        <w:tc>
          <w:tcPr>
            <w:tcW w:w="1229" w:type="dxa"/>
            <w:vMerge w:val="continue"/>
            <w:vAlign w:val="center"/>
          </w:tcPr>
          <w:p>
            <w:pPr>
              <w:widowControl/>
              <w:jc w:val="center"/>
              <w:rPr>
                <w:rFonts w:ascii="Times New Roman" w:hAnsi="Times New Roman" w:eastAsia="宋体"/>
                <w:kern w:val="0"/>
                <w:szCs w:val="21"/>
              </w:rPr>
            </w:pPr>
          </w:p>
        </w:tc>
        <w:tc>
          <w:tcPr>
            <w:tcW w:w="830"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浓度</w:t>
            </w:r>
          </w:p>
          <w:p>
            <w:pPr>
              <w:widowControl/>
              <w:jc w:val="center"/>
              <w:rPr>
                <w:rFonts w:ascii="Times New Roman" w:hAnsi="Times New Roman" w:eastAsia="宋体"/>
                <w:kern w:val="0"/>
                <w:szCs w:val="21"/>
              </w:rPr>
            </w:pPr>
            <w:r>
              <w:rPr>
                <w:rFonts w:ascii="Times New Roman" w:hAnsi="Times New Roman" w:eastAsia="宋体"/>
                <w:kern w:val="0"/>
                <w:szCs w:val="21"/>
              </w:rPr>
              <w:t>g/m³</w:t>
            </w:r>
          </w:p>
        </w:tc>
        <w:tc>
          <w:tcPr>
            <w:tcW w:w="846"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速率</w:t>
            </w:r>
          </w:p>
          <w:p>
            <w:pPr>
              <w:widowControl/>
              <w:jc w:val="center"/>
              <w:rPr>
                <w:rFonts w:ascii="Times New Roman" w:hAnsi="Times New Roman" w:eastAsia="宋体"/>
                <w:kern w:val="0"/>
                <w:szCs w:val="21"/>
              </w:rPr>
            </w:pPr>
            <w:r>
              <w:rPr>
                <w:rFonts w:ascii="Times New Roman" w:hAnsi="Times New Roman" w:eastAsia="宋体"/>
                <w:kern w:val="0"/>
                <w:szCs w:val="21"/>
              </w:rPr>
              <w:t>kg/h</w:t>
            </w:r>
          </w:p>
        </w:tc>
        <w:tc>
          <w:tcPr>
            <w:tcW w:w="977"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浓度</w:t>
            </w:r>
          </w:p>
          <w:p>
            <w:pPr>
              <w:widowControl/>
              <w:jc w:val="center"/>
              <w:rPr>
                <w:rFonts w:ascii="Times New Roman" w:hAnsi="Times New Roman" w:eastAsia="宋体"/>
                <w:kern w:val="0"/>
                <w:szCs w:val="21"/>
              </w:rPr>
            </w:pPr>
            <w:r>
              <w:rPr>
                <w:rFonts w:ascii="Times New Roman" w:hAnsi="Times New Roman" w:eastAsia="宋体"/>
                <w:kern w:val="0"/>
                <w:szCs w:val="21"/>
              </w:rPr>
              <w:t>g/m³</w:t>
            </w:r>
          </w:p>
        </w:tc>
        <w:tc>
          <w:tcPr>
            <w:tcW w:w="969"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速率</w:t>
            </w:r>
          </w:p>
          <w:p>
            <w:pPr>
              <w:widowControl/>
              <w:jc w:val="center"/>
              <w:rPr>
                <w:rFonts w:ascii="Times New Roman" w:hAnsi="Times New Roman" w:eastAsia="宋体"/>
                <w:kern w:val="0"/>
                <w:szCs w:val="21"/>
              </w:rPr>
            </w:pPr>
            <w:r>
              <w:rPr>
                <w:rFonts w:ascii="Times New Roman" w:hAnsi="Times New Roman" w:eastAsia="宋体"/>
                <w:kern w:val="0"/>
                <w:szCs w:val="21"/>
              </w:rPr>
              <w:t>kg/h</w:t>
            </w:r>
          </w:p>
        </w:tc>
      </w:tr>
      <w:bookmarkEnd w:id="4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exact"/>
          <w:jc w:val="center"/>
        </w:trPr>
        <w:tc>
          <w:tcPr>
            <w:tcW w:w="709"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事故</w:t>
            </w:r>
          </w:p>
        </w:tc>
        <w:tc>
          <w:tcPr>
            <w:tcW w:w="987"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不凝气</w:t>
            </w:r>
          </w:p>
        </w:tc>
        <w:tc>
          <w:tcPr>
            <w:tcW w:w="851"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281</w:t>
            </w:r>
          </w:p>
        </w:tc>
        <w:tc>
          <w:tcPr>
            <w:tcW w:w="898" w:type="dxa"/>
            <w:vMerge w:val="restart"/>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车间无组织排放</w:t>
            </w:r>
          </w:p>
        </w:tc>
        <w:tc>
          <w:tcPr>
            <w:tcW w:w="1229" w:type="dxa"/>
            <w:vAlign w:val="center"/>
          </w:tcPr>
          <w:p>
            <w:pPr>
              <w:widowControl/>
              <w:ind w:right="2"/>
              <w:jc w:val="center"/>
              <w:rPr>
                <w:rFonts w:ascii="Times New Roman" w:hAnsi="Times New Roman" w:eastAsia="宋体"/>
                <w:kern w:val="0"/>
                <w:szCs w:val="21"/>
              </w:rPr>
            </w:pPr>
            <w:r>
              <w:rPr>
                <w:rFonts w:ascii="Times New Roman" w:hAnsi="Times New Roman" w:eastAsia="宋体"/>
                <w:kern w:val="0"/>
                <w:szCs w:val="21"/>
              </w:rPr>
              <w:t>非甲烷总烃</w:t>
            </w:r>
          </w:p>
        </w:tc>
        <w:tc>
          <w:tcPr>
            <w:tcW w:w="830"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w:t>
            </w:r>
          </w:p>
        </w:tc>
        <w:tc>
          <w:tcPr>
            <w:tcW w:w="846"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5.76</w:t>
            </w:r>
          </w:p>
        </w:tc>
        <w:tc>
          <w:tcPr>
            <w:tcW w:w="977"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w:t>
            </w:r>
          </w:p>
        </w:tc>
        <w:tc>
          <w:tcPr>
            <w:tcW w:w="969"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3" w:hRule="exact"/>
          <w:jc w:val="center"/>
        </w:trPr>
        <w:tc>
          <w:tcPr>
            <w:tcW w:w="709" w:type="dxa"/>
            <w:vMerge w:val="continue"/>
            <w:vAlign w:val="center"/>
          </w:tcPr>
          <w:p>
            <w:pPr>
              <w:widowControl/>
              <w:jc w:val="center"/>
              <w:rPr>
                <w:rFonts w:ascii="Times New Roman" w:hAnsi="Times New Roman" w:eastAsia="宋体"/>
                <w:kern w:val="0"/>
                <w:szCs w:val="21"/>
              </w:rPr>
            </w:pPr>
          </w:p>
        </w:tc>
        <w:tc>
          <w:tcPr>
            <w:tcW w:w="987" w:type="dxa"/>
            <w:vMerge w:val="continue"/>
            <w:vAlign w:val="center"/>
          </w:tcPr>
          <w:p>
            <w:pPr>
              <w:widowControl/>
              <w:jc w:val="center"/>
              <w:rPr>
                <w:rFonts w:ascii="Times New Roman" w:hAnsi="Times New Roman" w:eastAsia="宋体"/>
                <w:kern w:val="0"/>
                <w:szCs w:val="21"/>
              </w:rPr>
            </w:pPr>
          </w:p>
        </w:tc>
        <w:tc>
          <w:tcPr>
            <w:tcW w:w="851" w:type="dxa"/>
            <w:vMerge w:val="continue"/>
            <w:vAlign w:val="center"/>
          </w:tcPr>
          <w:p>
            <w:pPr>
              <w:widowControl/>
              <w:jc w:val="center"/>
              <w:rPr>
                <w:rFonts w:ascii="Times New Roman" w:hAnsi="Times New Roman" w:eastAsia="宋体"/>
                <w:kern w:val="0"/>
                <w:szCs w:val="21"/>
              </w:rPr>
            </w:pPr>
          </w:p>
        </w:tc>
        <w:tc>
          <w:tcPr>
            <w:tcW w:w="898" w:type="dxa"/>
            <w:vMerge w:val="continue"/>
            <w:vAlign w:val="center"/>
          </w:tcPr>
          <w:p>
            <w:pPr>
              <w:widowControl/>
              <w:jc w:val="center"/>
              <w:rPr>
                <w:rFonts w:ascii="Times New Roman" w:hAnsi="Times New Roman" w:eastAsia="宋体"/>
                <w:kern w:val="0"/>
                <w:szCs w:val="21"/>
              </w:rPr>
            </w:pPr>
          </w:p>
        </w:tc>
        <w:tc>
          <w:tcPr>
            <w:tcW w:w="1229"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H</w:t>
            </w:r>
            <w:r>
              <w:rPr>
                <w:rFonts w:ascii="Times New Roman" w:hAnsi="Times New Roman" w:eastAsia="宋体"/>
                <w:kern w:val="0"/>
                <w:szCs w:val="21"/>
                <w:vertAlign w:val="subscript"/>
              </w:rPr>
              <w:t>2</w:t>
            </w:r>
            <w:r>
              <w:rPr>
                <w:rFonts w:ascii="Times New Roman" w:hAnsi="Times New Roman" w:eastAsia="宋体"/>
                <w:kern w:val="0"/>
                <w:szCs w:val="21"/>
              </w:rPr>
              <w:t>S</w:t>
            </w:r>
            <w:r>
              <w:rPr>
                <w:rFonts w:hint="eastAsia" w:ascii="Times New Roman" w:hAnsi="Times New Roman" w:eastAsia="宋体"/>
                <w:kern w:val="0"/>
                <w:szCs w:val="21"/>
              </w:rPr>
              <w:t>*</w:t>
            </w:r>
          </w:p>
        </w:tc>
        <w:tc>
          <w:tcPr>
            <w:tcW w:w="830"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w:t>
            </w:r>
          </w:p>
        </w:tc>
        <w:tc>
          <w:tcPr>
            <w:tcW w:w="846"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1.02</w:t>
            </w:r>
          </w:p>
        </w:tc>
        <w:tc>
          <w:tcPr>
            <w:tcW w:w="977"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w:t>
            </w:r>
          </w:p>
        </w:tc>
        <w:tc>
          <w:tcPr>
            <w:tcW w:w="969"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1.02</w:t>
            </w:r>
          </w:p>
        </w:tc>
      </w:tr>
      <w:bookmarkEnd w:id="46"/>
    </w:tbl>
    <w:p>
      <w:pPr>
        <w:spacing w:line="480" w:lineRule="exact"/>
        <w:ind w:firstLine="422" w:firstLineChars="200"/>
        <w:rPr>
          <w:rFonts w:ascii="Times New Roman" w:hAnsi="Times New Roman" w:eastAsia="宋体"/>
          <w:b/>
          <w:kern w:val="0"/>
          <w:szCs w:val="21"/>
        </w:rPr>
      </w:pPr>
      <w:r>
        <w:rPr>
          <w:rFonts w:hint="eastAsia" w:ascii="Times New Roman" w:hAnsi="Times New Roman" w:eastAsia="宋体"/>
          <w:b/>
          <w:kern w:val="0"/>
          <w:szCs w:val="21"/>
        </w:rPr>
        <w:t>注：本项目不凝气恶臭气体以</w:t>
      </w:r>
      <w:r>
        <w:rPr>
          <w:rFonts w:ascii="Times New Roman" w:hAnsi="Times New Roman" w:eastAsia="宋体"/>
          <w:b/>
          <w:kern w:val="0"/>
          <w:szCs w:val="21"/>
        </w:rPr>
        <w:t>H</w:t>
      </w:r>
      <w:r>
        <w:rPr>
          <w:rFonts w:ascii="Times New Roman" w:hAnsi="Times New Roman" w:eastAsia="宋体"/>
          <w:b/>
          <w:kern w:val="0"/>
          <w:szCs w:val="21"/>
          <w:vertAlign w:val="subscript"/>
        </w:rPr>
        <w:t>2</w:t>
      </w:r>
      <w:r>
        <w:rPr>
          <w:rFonts w:ascii="Times New Roman" w:hAnsi="Times New Roman" w:eastAsia="宋体"/>
          <w:b/>
          <w:kern w:val="0"/>
          <w:szCs w:val="21"/>
        </w:rPr>
        <w:t>S</w:t>
      </w:r>
      <w:r>
        <w:rPr>
          <w:rFonts w:hint="eastAsia" w:ascii="Times New Roman" w:hAnsi="Times New Roman" w:eastAsia="宋体"/>
          <w:b/>
          <w:kern w:val="0"/>
          <w:szCs w:val="21"/>
        </w:rPr>
        <w:t>计。</w:t>
      </w:r>
    </w:p>
    <w:p>
      <w:pPr>
        <w:pStyle w:val="33"/>
        <w:jc w:val="both"/>
        <w:rPr>
          <w:color w:val="auto"/>
        </w:rPr>
      </w:pPr>
      <w:r>
        <w:rPr>
          <w:rFonts w:hint="eastAsia"/>
          <w:color w:val="auto"/>
        </w:rPr>
        <w:t>3.8.1.4 变更前后废气排放情况汇总</w:t>
      </w:r>
    </w:p>
    <w:p>
      <w:pPr>
        <w:tabs>
          <w:tab w:val="left" w:pos="345"/>
        </w:tabs>
        <w:spacing w:line="480" w:lineRule="exact"/>
        <w:ind w:firstLine="480" w:firstLineChars="200"/>
        <w:rPr>
          <w:rFonts w:ascii="Times New Roman" w:hAnsi="Times New Roman" w:eastAsia="宋体"/>
          <w:sz w:val="24"/>
          <w:szCs w:val="24"/>
        </w:rPr>
      </w:pPr>
      <w:r>
        <w:rPr>
          <w:rFonts w:ascii="Times New Roman" w:hAnsi="Times New Roman" w:eastAsia="宋体"/>
          <w:sz w:val="24"/>
          <w:szCs w:val="24"/>
        </w:rPr>
        <w:t>项目</w:t>
      </w:r>
      <w:r>
        <w:rPr>
          <w:rFonts w:hint="eastAsia" w:ascii="Times New Roman" w:hAnsi="Times New Roman" w:eastAsia="宋体"/>
          <w:sz w:val="24"/>
          <w:szCs w:val="24"/>
        </w:rPr>
        <w:t>变更前后</w:t>
      </w:r>
      <w:r>
        <w:rPr>
          <w:rFonts w:ascii="Times New Roman" w:hAnsi="Times New Roman" w:eastAsia="宋体"/>
          <w:sz w:val="24"/>
          <w:szCs w:val="24"/>
        </w:rPr>
        <w:t>废气排放情况汇总见表3.8-8。</w:t>
      </w:r>
    </w:p>
    <w:p>
      <w:pPr>
        <w:pStyle w:val="24"/>
        <w:ind w:firstLine="480"/>
        <w:rPr>
          <w:color w:val="auto"/>
        </w:rPr>
        <w:sectPr>
          <w:pgSz w:w="11906" w:h="16838"/>
          <w:pgMar w:top="1440" w:right="1800" w:bottom="1440" w:left="1800" w:header="851" w:footer="992" w:gutter="0"/>
          <w:cols w:space="425" w:num="1"/>
          <w:docGrid w:type="lines" w:linePitch="312" w:charSpace="0"/>
        </w:sectPr>
      </w:pPr>
    </w:p>
    <w:p>
      <w:pPr>
        <w:spacing w:line="480" w:lineRule="exact"/>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 xml:space="preserve">表3.8-8                 </w:t>
      </w:r>
      <w:r>
        <w:rPr>
          <w:rFonts w:hint="eastAsia" w:ascii="Times New Roman" w:hAnsi="Times New Roman" w:eastAsia="黑体" w:cs="Times New Roman"/>
          <w:sz w:val="24"/>
          <w:szCs w:val="24"/>
        </w:rPr>
        <w:t xml:space="preserve">    </w:t>
      </w:r>
      <w:r>
        <w:rPr>
          <w:rFonts w:ascii="Times New Roman" w:hAnsi="Times New Roman" w:eastAsia="黑体" w:cs="Times New Roman"/>
          <w:sz w:val="24"/>
          <w:szCs w:val="24"/>
        </w:rPr>
        <w:t xml:space="preserve">       项目</w:t>
      </w:r>
      <w:r>
        <w:rPr>
          <w:rFonts w:hint="eastAsia" w:ascii="Times New Roman" w:hAnsi="Times New Roman" w:eastAsia="黑体" w:cs="Times New Roman"/>
          <w:sz w:val="24"/>
          <w:szCs w:val="24"/>
        </w:rPr>
        <w:t>变更前后</w:t>
      </w:r>
      <w:r>
        <w:rPr>
          <w:rFonts w:ascii="Times New Roman" w:hAnsi="Times New Roman" w:eastAsia="黑体" w:cs="Times New Roman"/>
          <w:sz w:val="24"/>
          <w:szCs w:val="24"/>
        </w:rPr>
        <w:t>废气排放情况一览表</w:t>
      </w:r>
    </w:p>
    <w:tbl>
      <w:tblPr>
        <w:tblStyle w:val="19"/>
        <w:tblW w:w="13948" w:type="dxa"/>
        <w:jc w:val="center"/>
        <w:tblInd w:w="0" w:type="dxa"/>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
      <w:tblGrid>
        <w:gridCol w:w="1347"/>
        <w:gridCol w:w="1630"/>
        <w:gridCol w:w="1121"/>
        <w:gridCol w:w="843"/>
        <w:gridCol w:w="601"/>
        <w:gridCol w:w="731"/>
        <w:gridCol w:w="620"/>
        <w:gridCol w:w="620"/>
        <w:gridCol w:w="843"/>
        <w:gridCol w:w="731"/>
        <w:gridCol w:w="843"/>
        <w:gridCol w:w="601"/>
        <w:gridCol w:w="731"/>
        <w:gridCol w:w="620"/>
        <w:gridCol w:w="601"/>
        <w:gridCol w:w="731"/>
        <w:gridCol w:w="734"/>
      </w:tblGrid>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47" w:type="dxa"/>
            <w:vMerge w:val="restart"/>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排放形式</w:t>
            </w:r>
          </w:p>
        </w:tc>
        <w:tc>
          <w:tcPr>
            <w:tcW w:w="1630" w:type="dxa"/>
            <w:vMerge w:val="restart"/>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排放源</w:t>
            </w:r>
          </w:p>
        </w:tc>
        <w:tc>
          <w:tcPr>
            <w:tcW w:w="1121" w:type="dxa"/>
            <w:vMerge w:val="restart"/>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污染物</w:t>
            </w:r>
          </w:p>
        </w:tc>
        <w:tc>
          <w:tcPr>
            <w:tcW w:w="4989" w:type="dxa"/>
            <w:gridSpan w:val="7"/>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变更前</w:t>
            </w:r>
          </w:p>
        </w:tc>
        <w:tc>
          <w:tcPr>
            <w:tcW w:w="4861" w:type="dxa"/>
            <w:gridSpan w:val="7"/>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变更后</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47" w:type="dxa"/>
            <w:vMerge w:val="continue"/>
            <w:vAlign w:val="center"/>
          </w:tcPr>
          <w:p>
            <w:pPr>
              <w:widowControl/>
              <w:jc w:val="center"/>
              <w:rPr>
                <w:rFonts w:ascii="Times New Roman" w:hAnsi="Times New Roman" w:eastAsia="宋体" w:cs="Times New Roman"/>
                <w:kern w:val="0"/>
                <w:szCs w:val="21"/>
              </w:rPr>
            </w:pPr>
          </w:p>
        </w:tc>
        <w:tc>
          <w:tcPr>
            <w:tcW w:w="1630" w:type="dxa"/>
            <w:vMerge w:val="continue"/>
            <w:vAlign w:val="center"/>
          </w:tcPr>
          <w:p>
            <w:pPr>
              <w:widowControl/>
              <w:jc w:val="center"/>
              <w:rPr>
                <w:rFonts w:ascii="Times New Roman" w:hAnsi="Times New Roman" w:eastAsia="宋体" w:cs="Times New Roman"/>
                <w:kern w:val="0"/>
                <w:szCs w:val="21"/>
              </w:rPr>
            </w:pPr>
          </w:p>
        </w:tc>
        <w:tc>
          <w:tcPr>
            <w:tcW w:w="1121" w:type="dxa"/>
            <w:vMerge w:val="continue"/>
            <w:vAlign w:val="center"/>
          </w:tcPr>
          <w:p>
            <w:pPr>
              <w:widowControl/>
              <w:jc w:val="center"/>
              <w:rPr>
                <w:rFonts w:ascii="Times New Roman" w:hAnsi="Times New Roman" w:eastAsia="宋体" w:cs="Times New Roman"/>
                <w:kern w:val="0"/>
                <w:szCs w:val="21"/>
              </w:rPr>
            </w:pP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废气量</w:t>
            </w:r>
          </w:p>
        </w:tc>
        <w:tc>
          <w:tcPr>
            <w:tcW w:w="1952" w:type="dxa"/>
            <w:gridSpan w:val="3"/>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产生源强</w:t>
            </w:r>
          </w:p>
        </w:tc>
        <w:tc>
          <w:tcPr>
            <w:tcW w:w="2194" w:type="dxa"/>
            <w:gridSpan w:val="3"/>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排放源强</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废气量</w:t>
            </w:r>
          </w:p>
        </w:tc>
        <w:tc>
          <w:tcPr>
            <w:tcW w:w="1952" w:type="dxa"/>
            <w:gridSpan w:val="3"/>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产生源强</w:t>
            </w:r>
          </w:p>
        </w:tc>
        <w:tc>
          <w:tcPr>
            <w:tcW w:w="2066" w:type="dxa"/>
            <w:gridSpan w:val="3"/>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排放源强</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47" w:type="dxa"/>
            <w:vMerge w:val="continue"/>
            <w:vAlign w:val="center"/>
          </w:tcPr>
          <w:p>
            <w:pPr>
              <w:widowControl/>
              <w:jc w:val="center"/>
              <w:rPr>
                <w:rFonts w:ascii="Times New Roman" w:hAnsi="Times New Roman" w:eastAsia="宋体" w:cs="Times New Roman"/>
                <w:kern w:val="0"/>
                <w:szCs w:val="21"/>
              </w:rPr>
            </w:pPr>
          </w:p>
        </w:tc>
        <w:tc>
          <w:tcPr>
            <w:tcW w:w="1630" w:type="dxa"/>
            <w:vMerge w:val="continue"/>
            <w:vAlign w:val="center"/>
          </w:tcPr>
          <w:p>
            <w:pPr>
              <w:widowControl/>
              <w:jc w:val="center"/>
              <w:rPr>
                <w:rFonts w:ascii="Times New Roman" w:hAnsi="Times New Roman" w:eastAsia="宋体" w:cs="Times New Roman"/>
                <w:kern w:val="0"/>
                <w:szCs w:val="21"/>
              </w:rPr>
            </w:pPr>
          </w:p>
        </w:tc>
        <w:tc>
          <w:tcPr>
            <w:tcW w:w="1121" w:type="dxa"/>
            <w:vMerge w:val="continue"/>
            <w:vAlign w:val="center"/>
          </w:tcPr>
          <w:p>
            <w:pPr>
              <w:widowControl/>
              <w:jc w:val="center"/>
              <w:rPr>
                <w:rFonts w:ascii="Times New Roman" w:hAnsi="Times New Roman" w:eastAsia="宋体" w:cs="Times New Roman"/>
                <w:kern w:val="0"/>
                <w:szCs w:val="21"/>
              </w:rPr>
            </w:pP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万m</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/a</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mg/m</w:t>
            </w:r>
            <w:r>
              <w:rPr>
                <w:rFonts w:ascii="Times New Roman" w:hAnsi="Times New Roman" w:eastAsia="宋体" w:cs="Times New Roman"/>
                <w:kern w:val="0"/>
                <w:szCs w:val="21"/>
                <w:vertAlign w:val="superscript"/>
              </w:rPr>
              <w:t>3</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kg/h</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t/a</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mg/m</w:t>
            </w:r>
            <w:r>
              <w:rPr>
                <w:rFonts w:ascii="Times New Roman" w:hAnsi="Times New Roman" w:eastAsia="宋体" w:cs="Times New Roman"/>
                <w:kern w:val="0"/>
                <w:szCs w:val="21"/>
                <w:vertAlign w:val="superscript"/>
              </w:rPr>
              <w:t>3</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kg/h</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t/a</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万m</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/a</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mg/m</w:t>
            </w:r>
            <w:r>
              <w:rPr>
                <w:rFonts w:ascii="Times New Roman" w:hAnsi="Times New Roman" w:eastAsia="宋体" w:cs="Times New Roman"/>
                <w:kern w:val="0"/>
                <w:szCs w:val="21"/>
                <w:vertAlign w:val="superscript"/>
              </w:rPr>
              <w:t>3</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kg/h</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t/a</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mg/m</w:t>
            </w:r>
            <w:r>
              <w:rPr>
                <w:rFonts w:ascii="Times New Roman" w:hAnsi="Times New Roman" w:eastAsia="宋体" w:cs="Times New Roman"/>
                <w:kern w:val="0"/>
                <w:szCs w:val="21"/>
                <w:vertAlign w:val="superscript"/>
              </w:rPr>
              <w:t>3</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kg/h</w:t>
            </w:r>
          </w:p>
        </w:tc>
        <w:tc>
          <w:tcPr>
            <w:tcW w:w="734"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t/a</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47" w:type="dxa"/>
            <w:vMerge w:val="restart"/>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有组织排放</w:t>
            </w:r>
          </w:p>
        </w:tc>
        <w:tc>
          <w:tcPr>
            <w:tcW w:w="1630" w:type="dxa"/>
            <w:vMerge w:val="restart"/>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减压炉</w:t>
            </w:r>
          </w:p>
        </w:tc>
        <w:tc>
          <w:tcPr>
            <w:tcW w:w="112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SO</w:t>
            </w:r>
            <w:r>
              <w:rPr>
                <w:rFonts w:ascii="Times New Roman" w:hAnsi="Times New Roman" w:eastAsia="宋体" w:cs="Times New Roman"/>
                <w:kern w:val="0"/>
                <w:szCs w:val="21"/>
                <w:vertAlign w:val="subscript"/>
              </w:rPr>
              <w:t>2</w:t>
            </w:r>
          </w:p>
        </w:tc>
        <w:tc>
          <w:tcPr>
            <w:tcW w:w="843" w:type="dxa"/>
            <w:vMerge w:val="restart"/>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4193.76</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46.3</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0.24</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1.94</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46.3</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0.24</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1.94</w:t>
            </w:r>
          </w:p>
        </w:tc>
        <w:tc>
          <w:tcPr>
            <w:tcW w:w="843" w:type="dxa"/>
            <w:vMerge w:val="restart"/>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4193.76</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46.3</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0.24</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1.94</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46.3</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0.24</w:t>
            </w:r>
          </w:p>
        </w:tc>
        <w:tc>
          <w:tcPr>
            <w:tcW w:w="734"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1.94</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47" w:type="dxa"/>
            <w:vMerge w:val="continue"/>
            <w:vAlign w:val="center"/>
          </w:tcPr>
          <w:p>
            <w:pPr>
              <w:widowControl/>
              <w:jc w:val="center"/>
              <w:rPr>
                <w:rFonts w:ascii="Times New Roman" w:hAnsi="Times New Roman" w:eastAsia="宋体" w:cs="Times New Roman"/>
                <w:kern w:val="0"/>
                <w:szCs w:val="21"/>
              </w:rPr>
            </w:pPr>
          </w:p>
        </w:tc>
        <w:tc>
          <w:tcPr>
            <w:tcW w:w="1630" w:type="dxa"/>
            <w:vMerge w:val="continue"/>
            <w:vAlign w:val="center"/>
          </w:tcPr>
          <w:p>
            <w:pPr>
              <w:widowControl/>
              <w:jc w:val="center"/>
              <w:rPr>
                <w:rFonts w:ascii="Times New Roman" w:hAnsi="Times New Roman" w:eastAsia="宋体" w:cs="Times New Roman"/>
                <w:kern w:val="0"/>
                <w:szCs w:val="21"/>
              </w:rPr>
            </w:pPr>
          </w:p>
        </w:tc>
        <w:tc>
          <w:tcPr>
            <w:tcW w:w="112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NO</w:t>
            </w:r>
            <w:r>
              <w:rPr>
                <w:rFonts w:ascii="Times New Roman" w:hAnsi="Times New Roman" w:eastAsia="宋体" w:cs="Times New Roman"/>
                <w:kern w:val="0"/>
                <w:szCs w:val="21"/>
                <w:vertAlign w:val="subscript"/>
              </w:rPr>
              <w:t>X</w:t>
            </w:r>
          </w:p>
        </w:tc>
        <w:tc>
          <w:tcPr>
            <w:tcW w:w="843" w:type="dxa"/>
            <w:vMerge w:val="continue"/>
            <w:vAlign w:val="center"/>
          </w:tcPr>
          <w:p>
            <w:pPr>
              <w:widowControl/>
              <w:jc w:val="center"/>
              <w:rPr>
                <w:rFonts w:ascii="Times New Roman" w:hAnsi="Times New Roman" w:eastAsia="宋体" w:cs="Times New Roman"/>
                <w:kern w:val="0"/>
                <w:szCs w:val="21"/>
              </w:rPr>
            </w:pP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35.7</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0.19</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1.50</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35.7</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0.19</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1.50</w:t>
            </w:r>
          </w:p>
        </w:tc>
        <w:tc>
          <w:tcPr>
            <w:tcW w:w="843" w:type="dxa"/>
            <w:vMerge w:val="continue"/>
            <w:vAlign w:val="center"/>
          </w:tcPr>
          <w:p>
            <w:pPr>
              <w:widowControl/>
              <w:jc w:val="center"/>
              <w:rPr>
                <w:rFonts w:ascii="Times New Roman" w:hAnsi="Times New Roman" w:eastAsia="宋体" w:cs="Times New Roman"/>
                <w:kern w:val="0"/>
                <w:szCs w:val="21"/>
              </w:rPr>
            </w:pP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35.7</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0.19</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1.50</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35.7</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0.19</w:t>
            </w:r>
          </w:p>
        </w:tc>
        <w:tc>
          <w:tcPr>
            <w:tcW w:w="734"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1.50</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47" w:type="dxa"/>
            <w:vMerge w:val="continue"/>
            <w:vAlign w:val="center"/>
          </w:tcPr>
          <w:p>
            <w:pPr>
              <w:widowControl/>
              <w:jc w:val="center"/>
              <w:rPr>
                <w:rFonts w:ascii="Times New Roman" w:hAnsi="Times New Roman" w:eastAsia="宋体" w:cs="Times New Roman"/>
                <w:kern w:val="0"/>
                <w:szCs w:val="21"/>
              </w:rPr>
            </w:pPr>
          </w:p>
        </w:tc>
        <w:tc>
          <w:tcPr>
            <w:tcW w:w="1630" w:type="dxa"/>
            <w:vMerge w:val="continue"/>
            <w:vAlign w:val="center"/>
          </w:tcPr>
          <w:p>
            <w:pPr>
              <w:widowControl/>
              <w:jc w:val="center"/>
              <w:rPr>
                <w:rFonts w:ascii="Times New Roman" w:hAnsi="Times New Roman" w:eastAsia="宋体" w:cs="Times New Roman"/>
                <w:kern w:val="0"/>
                <w:szCs w:val="21"/>
              </w:rPr>
            </w:pPr>
          </w:p>
        </w:tc>
        <w:tc>
          <w:tcPr>
            <w:tcW w:w="112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烟尘</w:t>
            </w:r>
          </w:p>
        </w:tc>
        <w:tc>
          <w:tcPr>
            <w:tcW w:w="843" w:type="dxa"/>
            <w:vMerge w:val="continue"/>
            <w:vAlign w:val="center"/>
          </w:tcPr>
          <w:p>
            <w:pPr>
              <w:widowControl/>
              <w:jc w:val="center"/>
              <w:rPr>
                <w:rFonts w:ascii="Times New Roman" w:hAnsi="Times New Roman" w:eastAsia="宋体" w:cs="Times New Roman"/>
                <w:kern w:val="0"/>
                <w:szCs w:val="21"/>
              </w:rPr>
            </w:pP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14.3</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0.075</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0.60</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14.3</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0.075</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0.60</w:t>
            </w:r>
          </w:p>
        </w:tc>
        <w:tc>
          <w:tcPr>
            <w:tcW w:w="843" w:type="dxa"/>
            <w:vMerge w:val="continue"/>
            <w:vAlign w:val="center"/>
          </w:tcPr>
          <w:p>
            <w:pPr>
              <w:widowControl/>
              <w:jc w:val="center"/>
              <w:rPr>
                <w:rFonts w:ascii="Times New Roman" w:hAnsi="Times New Roman" w:eastAsia="宋体" w:cs="Times New Roman"/>
                <w:kern w:val="0"/>
                <w:szCs w:val="21"/>
              </w:rPr>
            </w:pP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14.3</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0.075</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0.60</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14.3</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0.075</w:t>
            </w:r>
          </w:p>
        </w:tc>
        <w:tc>
          <w:tcPr>
            <w:tcW w:w="734"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0.60</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47" w:type="dxa"/>
            <w:vMerge w:val="continue"/>
            <w:vAlign w:val="center"/>
          </w:tcPr>
          <w:p>
            <w:pPr>
              <w:widowControl/>
              <w:jc w:val="center"/>
              <w:rPr>
                <w:rFonts w:ascii="Times New Roman" w:hAnsi="Times New Roman" w:eastAsia="宋体" w:cs="Times New Roman"/>
                <w:kern w:val="0"/>
                <w:szCs w:val="21"/>
              </w:rPr>
            </w:pPr>
          </w:p>
        </w:tc>
        <w:tc>
          <w:tcPr>
            <w:tcW w:w="1630" w:type="dxa"/>
            <w:vMerge w:val="restart"/>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auto"/>
                <w:kern w:val="0"/>
                <w:szCs w:val="21"/>
                <w:lang w:eastAsia="zh-CN"/>
              </w:rPr>
              <w:t>熔盐炉</w:t>
            </w:r>
            <w:r>
              <w:rPr>
                <w:rFonts w:hint="eastAsia" w:ascii="Times New Roman" w:hAnsi="Times New Roman" w:eastAsia="宋体" w:cs="Times New Roman"/>
                <w:color w:val="auto"/>
                <w:kern w:val="0"/>
                <w:szCs w:val="21"/>
                <w:lang w:val="en-US" w:eastAsia="zh-CN"/>
              </w:rPr>
              <w:t>/</w:t>
            </w:r>
            <w:r>
              <w:rPr>
                <w:rFonts w:hint="eastAsia" w:ascii="Times New Roman" w:hAnsi="Times New Roman" w:eastAsia="宋体" w:cs="Times New Roman"/>
                <w:color w:val="auto"/>
                <w:kern w:val="0"/>
                <w:szCs w:val="21"/>
              </w:rPr>
              <w:t>导热油</w:t>
            </w:r>
            <w:r>
              <w:rPr>
                <w:rFonts w:ascii="Times New Roman" w:hAnsi="Times New Roman" w:eastAsia="宋体" w:cs="Times New Roman"/>
                <w:color w:val="auto"/>
                <w:kern w:val="0"/>
                <w:szCs w:val="21"/>
              </w:rPr>
              <w:t>炉</w:t>
            </w:r>
          </w:p>
        </w:tc>
        <w:tc>
          <w:tcPr>
            <w:tcW w:w="112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SO</w:t>
            </w:r>
            <w:r>
              <w:rPr>
                <w:rFonts w:ascii="Times New Roman" w:hAnsi="Times New Roman" w:eastAsia="宋体" w:cs="Times New Roman"/>
                <w:kern w:val="0"/>
                <w:szCs w:val="21"/>
                <w:vertAlign w:val="subscript"/>
              </w:rPr>
              <w:t>2</w:t>
            </w:r>
          </w:p>
        </w:tc>
        <w:tc>
          <w:tcPr>
            <w:tcW w:w="843" w:type="dxa"/>
            <w:vMerge w:val="restart"/>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16941.12</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0.028</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0.22</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0.028</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0.22</w:t>
            </w:r>
          </w:p>
        </w:tc>
        <w:tc>
          <w:tcPr>
            <w:tcW w:w="843" w:type="dxa"/>
            <w:vMerge w:val="restart"/>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10752.26</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w:t>
            </w:r>
          </w:p>
        </w:tc>
        <w:tc>
          <w:tcPr>
            <w:tcW w:w="731" w:type="dxa"/>
            <w:vAlign w:val="bottom"/>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0.017 </w:t>
            </w:r>
          </w:p>
        </w:tc>
        <w:tc>
          <w:tcPr>
            <w:tcW w:w="620"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0.14</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w:t>
            </w:r>
          </w:p>
        </w:tc>
        <w:tc>
          <w:tcPr>
            <w:tcW w:w="731" w:type="dxa"/>
            <w:vAlign w:val="bottom"/>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0.017 </w:t>
            </w:r>
          </w:p>
        </w:tc>
        <w:tc>
          <w:tcPr>
            <w:tcW w:w="734"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0.14</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Ex>
        <w:trPr>
          <w:trHeight w:val="75" w:hRule="atLeast"/>
          <w:jc w:val="center"/>
        </w:trPr>
        <w:tc>
          <w:tcPr>
            <w:tcW w:w="1347" w:type="dxa"/>
            <w:vMerge w:val="continue"/>
            <w:vAlign w:val="center"/>
          </w:tcPr>
          <w:p>
            <w:pPr>
              <w:widowControl/>
              <w:jc w:val="center"/>
              <w:rPr>
                <w:rFonts w:ascii="Times New Roman" w:hAnsi="Times New Roman" w:eastAsia="宋体" w:cs="Times New Roman"/>
                <w:kern w:val="0"/>
                <w:szCs w:val="21"/>
              </w:rPr>
            </w:pPr>
          </w:p>
        </w:tc>
        <w:tc>
          <w:tcPr>
            <w:tcW w:w="1630" w:type="dxa"/>
            <w:vMerge w:val="continue"/>
            <w:vAlign w:val="center"/>
          </w:tcPr>
          <w:p>
            <w:pPr>
              <w:widowControl/>
              <w:jc w:val="center"/>
              <w:rPr>
                <w:rFonts w:ascii="Times New Roman" w:hAnsi="Times New Roman" w:eastAsia="宋体" w:cs="Times New Roman"/>
                <w:kern w:val="0"/>
                <w:szCs w:val="21"/>
              </w:rPr>
            </w:pPr>
          </w:p>
        </w:tc>
        <w:tc>
          <w:tcPr>
            <w:tcW w:w="112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NO</w:t>
            </w:r>
            <w:r>
              <w:rPr>
                <w:rFonts w:ascii="Times New Roman" w:hAnsi="Times New Roman" w:eastAsia="宋体" w:cs="Times New Roman"/>
                <w:kern w:val="0"/>
                <w:szCs w:val="21"/>
                <w:vertAlign w:val="subscript"/>
              </w:rPr>
              <w:t>X</w:t>
            </w:r>
          </w:p>
        </w:tc>
        <w:tc>
          <w:tcPr>
            <w:tcW w:w="843" w:type="dxa"/>
            <w:vMerge w:val="continue"/>
            <w:vAlign w:val="center"/>
          </w:tcPr>
          <w:p>
            <w:pPr>
              <w:widowControl/>
              <w:jc w:val="center"/>
              <w:rPr>
                <w:rFonts w:ascii="Times New Roman" w:hAnsi="Times New Roman" w:eastAsia="宋体" w:cs="Times New Roman"/>
                <w:kern w:val="0"/>
                <w:szCs w:val="21"/>
              </w:rPr>
            </w:pP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33.6</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0.71</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5.70</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33.6</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0.71</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5.70</w:t>
            </w:r>
          </w:p>
        </w:tc>
        <w:tc>
          <w:tcPr>
            <w:tcW w:w="843" w:type="dxa"/>
            <w:vMerge w:val="continue"/>
            <w:vAlign w:val="center"/>
          </w:tcPr>
          <w:p>
            <w:pPr>
              <w:widowControl/>
              <w:jc w:val="center"/>
              <w:rPr>
                <w:rFonts w:ascii="Times New Roman" w:hAnsi="Times New Roman" w:eastAsia="宋体" w:cs="Times New Roman"/>
                <w:kern w:val="0"/>
                <w:szCs w:val="21"/>
              </w:rPr>
            </w:pP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33.6</w:t>
            </w:r>
          </w:p>
        </w:tc>
        <w:tc>
          <w:tcPr>
            <w:tcW w:w="731" w:type="dxa"/>
            <w:vAlign w:val="bottom"/>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0.452 </w:t>
            </w:r>
          </w:p>
        </w:tc>
        <w:tc>
          <w:tcPr>
            <w:tcW w:w="620"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3.6</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33.6</w:t>
            </w:r>
          </w:p>
        </w:tc>
        <w:tc>
          <w:tcPr>
            <w:tcW w:w="731" w:type="dxa"/>
            <w:vAlign w:val="bottom"/>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0.452 </w:t>
            </w:r>
          </w:p>
        </w:tc>
        <w:tc>
          <w:tcPr>
            <w:tcW w:w="734"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3.6</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47" w:type="dxa"/>
            <w:vMerge w:val="continue"/>
            <w:vAlign w:val="center"/>
          </w:tcPr>
          <w:p>
            <w:pPr>
              <w:widowControl/>
              <w:jc w:val="center"/>
              <w:rPr>
                <w:rFonts w:ascii="Times New Roman" w:hAnsi="Times New Roman" w:eastAsia="宋体" w:cs="Times New Roman"/>
                <w:kern w:val="0"/>
                <w:szCs w:val="21"/>
              </w:rPr>
            </w:pPr>
          </w:p>
        </w:tc>
        <w:tc>
          <w:tcPr>
            <w:tcW w:w="1630" w:type="dxa"/>
            <w:vMerge w:val="continue"/>
            <w:vAlign w:val="center"/>
          </w:tcPr>
          <w:p>
            <w:pPr>
              <w:widowControl/>
              <w:jc w:val="center"/>
              <w:rPr>
                <w:rFonts w:ascii="Times New Roman" w:hAnsi="Times New Roman" w:eastAsia="宋体" w:cs="Times New Roman"/>
                <w:kern w:val="0"/>
                <w:szCs w:val="21"/>
              </w:rPr>
            </w:pPr>
          </w:p>
        </w:tc>
        <w:tc>
          <w:tcPr>
            <w:tcW w:w="112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烟尘</w:t>
            </w:r>
          </w:p>
        </w:tc>
        <w:tc>
          <w:tcPr>
            <w:tcW w:w="843" w:type="dxa"/>
            <w:vMerge w:val="continue"/>
            <w:vAlign w:val="center"/>
          </w:tcPr>
          <w:p>
            <w:pPr>
              <w:widowControl/>
              <w:jc w:val="center"/>
              <w:rPr>
                <w:rFonts w:ascii="Times New Roman" w:hAnsi="Times New Roman" w:eastAsia="宋体" w:cs="Times New Roman"/>
                <w:kern w:val="0"/>
                <w:szCs w:val="21"/>
              </w:rPr>
            </w:pP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13.0</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0.78</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2.20</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13.0</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0.78</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2.20</w:t>
            </w:r>
          </w:p>
        </w:tc>
        <w:tc>
          <w:tcPr>
            <w:tcW w:w="843" w:type="dxa"/>
            <w:vMerge w:val="continue"/>
            <w:vAlign w:val="center"/>
          </w:tcPr>
          <w:p>
            <w:pPr>
              <w:widowControl/>
              <w:jc w:val="center"/>
              <w:rPr>
                <w:rFonts w:ascii="Times New Roman" w:hAnsi="Times New Roman" w:eastAsia="宋体" w:cs="Times New Roman"/>
                <w:kern w:val="0"/>
                <w:szCs w:val="21"/>
              </w:rPr>
            </w:pP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13.0</w:t>
            </w:r>
          </w:p>
        </w:tc>
        <w:tc>
          <w:tcPr>
            <w:tcW w:w="731" w:type="dxa"/>
            <w:vAlign w:val="bottom"/>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0.175 </w:t>
            </w:r>
          </w:p>
        </w:tc>
        <w:tc>
          <w:tcPr>
            <w:tcW w:w="620"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13.0</w:t>
            </w:r>
          </w:p>
        </w:tc>
        <w:tc>
          <w:tcPr>
            <w:tcW w:w="731" w:type="dxa"/>
            <w:vAlign w:val="bottom"/>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0.175 </w:t>
            </w:r>
          </w:p>
        </w:tc>
        <w:tc>
          <w:tcPr>
            <w:tcW w:w="734"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47" w:type="dxa"/>
            <w:vMerge w:val="continue"/>
            <w:vAlign w:val="center"/>
          </w:tcPr>
          <w:p>
            <w:pPr>
              <w:widowControl/>
              <w:jc w:val="center"/>
              <w:rPr>
                <w:rFonts w:ascii="Times New Roman" w:hAnsi="Times New Roman" w:eastAsia="宋体" w:cs="Times New Roman"/>
                <w:kern w:val="0"/>
                <w:szCs w:val="21"/>
              </w:rPr>
            </w:pPr>
          </w:p>
        </w:tc>
        <w:tc>
          <w:tcPr>
            <w:tcW w:w="163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罐区</w:t>
            </w:r>
          </w:p>
        </w:tc>
        <w:tc>
          <w:tcPr>
            <w:tcW w:w="112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非甲烷总烃</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2400</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604</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1.812</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14.498</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60.4</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0.1812</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1.4498</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2400</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604</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1.812</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14.498</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60.4</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0.1812</w:t>
            </w:r>
          </w:p>
        </w:tc>
        <w:tc>
          <w:tcPr>
            <w:tcW w:w="734"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1.4498</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47" w:type="dxa"/>
            <w:vMerge w:val="continue"/>
            <w:vAlign w:val="center"/>
          </w:tcPr>
          <w:p>
            <w:pPr>
              <w:widowControl/>
              <w:jc w:val="center"/>
              <w:rPr>
                <w:rFonts w:ascii="Times New Roman" w:hAnsi="Times New Roman" w:eastAsia="宋体" w:cs="Times New Roman"/>
                <w:kern w:val="0"/>
                <w:szCs w:val="21"/>
              </w:rPr>
            </w:pPr>
          </w:p>
        </w:tc>
        <w:tc>
          <w:tcPr>
            <w:tcW w:w="1630" w:type="dxa"/>
            <w:vMerge w:val="restart"/>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污水站</w:t>
            </w:r>
            <w:bookmarkStart w:id="129" w:name="_GoBack"/>
            <w:bookmarkEnd w:id="129"/>
          </w:p>
        </w:tc>
        <w:tc>
          <w:tcPr>
            <w:tcW w:w="112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非甲烷总烃</w:t>
            </w:r>
          </w:p>
        </w:tc>
        <w:tc>
          <w:tcPr>
            <w:tcW w:w="843" w:type="dxa"/>
            <w:vMerge w:val="restart"/>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1600</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18.95</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0.0379</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0.332</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1.7055</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0.0034</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0.0299</w:t>
            </w:r>
          </w:p>
        </w:tc>
        <w:tc>
          <w:tcPr>
            <w:tcW w:w="843" w:type="dxa"/>
            <w:vMerge w:val="restart"/>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1600</w:t>
            </w:r>
          </w:p>
        </w:tc>
        <w:tc>
          <w:tcPr>
            <w:tcW w:w="601"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13.5</w:t>
            </w:r>
          </w:p>
        </w:tc>
        <w:tc>
          <w:tcPr>
            <w:tcW w:w="731"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0.027</w:t>
            </w:r>
          </w:p>
        </w:tc>
        <w:tc>
          <w:tcPr>
            <w:tcW w:w="620"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0.216</w:t>
            </w:r>
          </w:p>
        </w:tc>
        <w:tc>
          <w:tcPr>
            <w:tcW w:w="601"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1.22</w:t>
            </w:r>
          </w:p>
        </w:tc>
        <w:tc>
          <w:tcPr>
            <w:tcW w:w="731"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0.0024</w:t>
            </w:r>
          </w:p>
        </w:tc>
        <w:tc>
          <w:tcPr>
            <w:tcW w:w="734"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0.01944</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47" w:type="dxa"/>
            <w:vMerge w:val="continue"/>
            <w:vAlign w:val="center"/>
          </w:tcPr>
          <w:p>
            <w:pPr>
              <w:widowControl/>
              <w:jc w:val="center"/>
              <w:rPr>
                <w:rFonts w:ascii="Times New Roman" w:hAnsi="Times New Roman" w:eastAsia="宋体" w:cs="Times New Roman"/>
                <w:kern w:val="0"/>
                <w:szCs w:val="21"/>
              </w:rPr>
            </w:pPr>
          </w:p>
        </w:tc>
        <w:tc>
          <w:tcPr>
            <w:tcW w:w="1630" w:type="dxa"/>
            <w:vMerge w:val="continue"/>
            <w:vAlign w:val="center"/>
          </w:tcPr>
          <w:p>
            <w:pPr>
              <w:widowControl/>
              <w:jc w:val="center"/>
              <w:rPr>
                <w:rFonts w:ascii="Times New Roman" w:hAnsi="Times New Roman" w:eastAsia="宋体" w:cs="Times New Roman"/>
                <w:kern w:val="0"/>
                <w:szCs w:val="21"/>
              </w:rPr>
            </w:pPr>
          </w:p>
        </w:tc>
        <w:tc>
          <w:tcPr>
            <w:tcW w:w="112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NH</w:t>
            </w:r>
            <w:r>
              <w:rPr>
                <w:rFonts w:ascii="Times New Roman" w:hAnsi="Times New Roman" w:eastAsia="宋体" w:cs="Times New Roman"/>
                <w:kern w:val="0"/>
                <w:szCs w:val="21"/>
                <w:vertAlign w:val="subscript"/>
              </w:rPr>
              <w:t>3</w:t>
            </w:r>
          </w:p>
        </w:tc>
        <w:tc>
          <w:tcPr>
            <w:tcW w:w="843" w:type="dxa"/>
            <w:vMerge w:val="continue"/>
            <w:vAlign w:val="center"/>
          </w:tcPr>
          <w:p>
            <w:pPr>
              <w:widowControl/>
              <w:jc w:val="center"/>
              <w:rPr>
                <w:rFonts w:ascii="Times New Roman" w:hAnsi="Times New Roman" w:eastAsia="宋体" w:cs="Times New Roman"/>
                <w:kern w:val="0"/>
                <w:szCs w:val="21"/>
              </w:rPr>
            </w:pP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29.5</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0.059</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0.52</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2.655</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0.0053</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0.0468</w:t>
            </w:r>
          </w:p>
        </w:tc>
        <w:tc>
          <w:tcPr>
            <w:tcW w:w="843" w:type="dxa"/>
            <w:vMerge w:val="continue"/>
            <w:vAlign w:val="center"/>
          </w:tcPr>
          <w:p>
            <w:pPr>
              <w:widowControl/>
              <w:jc w:val="center"/>
              <w:rPr>
                <w:rFonts w:ascii="Times New Roman" w:hAnsi="Times New Roman" w:eastAsia="宋体" w:cs="Times New Roman"/>
                <w:kern w:val="0"/>
                <w:szCs w:val="21"/>
              </w:rPr>
            </w:pPr>
          </w:p>
        </w:tc>
        <w:tc>
          <w:tcPr>
            <w:tcW w:w="601"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28.36</w:t>
            </w:r>
          </w:p>
        </w:tc>
        <w:tc>
          <w:tcPr>
            <w:tcW w:w="731"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0.0</w:t>
            </w:r>
            <w:r>
              <w:rPr>
                <w:rFonts w:ascii="Times New Roman" w:hAnsi="Times New Roman" w:eastAsia="宋体"/>
                <w:kern w:val="0"/>
                <w:szCs w:val="21"/>
              </w:rPr>
              <w:t>567</w:t>
            </w:r>
          </w:p>
        </w:tc>
        <w:tc>
          <w:tcPr>
            <w:tcW w:w="620"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0.45</w:t>
            </w:r>
          </w:p>
        </w:tc>
        <w:tc>
          <w:tcPr>
            <w:tcW w:w="601"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2.55</w:t>
            </w:r>
          </w:p>
        </w:tc>
        <w:tc>
          <w:tcPr>
            <w:tcW w:w="731"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0.0051</w:t>
            </w:r>
          </w:p>
        </w:tc>
        <w:tc>
          <w:tcPr>
            <w:tcW w:w="734"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0.0408</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47" w:type="dxa"/>
            <w:vMerge w:val="continue"/>
            <w:tcBorders>
              <w:bottom w:val="single" w:color="auto" w:sz="4" w:space="0"/>
            </w:tcBorders>
            <w:vAlign w:val="center"/>
          </w:tcPr>
          <w:p>
            <w:pPr>
              <w:widowControl/>
              <w:jc w:val="center"/>
              <w:rPr>
                <w:rFonts w:ascii="Times New Roman" w:hAnsi="Times New Roman" w:eastAsia="宋体" w:cs="Times New Roman"/>
                <w:kern w:val="0"/>
                <w:szCs w:val="21"/>
              </w:rPr>
            </w:pPr>
          </w:p>
        </w:tc>
        <w:tc>
          <w:tcPr>
            <w:tcW w:w="1630" w:type="dxa"/>
            <w:vMerge w:val="continue"/>
            <w:tcBorders>
              <w:bottom w:val="single" w:color="auto" w:sz="4" w:space="0"/>
            </w:tcBorders>
            <w:vAlign w:val="center"/>
          </w:tcPr>
          <w:p>
            <w:pPr>
              <w:widowControl/>
              <w:jc w:val="center"/>
              <w:rPr>
                <w:rFonts w:ascii="Times New Roman" w:hAnsi="Times New Roman" w:eastAsia="宋体" w:cs="Times New Roman"/>
                <w:kern w:val="0"/>
                <w:szCs w:val="21"/>
              </w:rPr>
            </w:pPr>
          </w:p>
        </w:tc>
        <w:tc>
          <w:tcPr>
            <w:tcW w:w="112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H</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S</w:t>
            </w:r>
          </w:p>
        </w:tc>
        <w:tc>
          <w:tcPr>
            <w:tcW w:w="843" w:type="dxa"/>
            <w:vMerge w:val="continue"/>
            <w:vAlign w:val="center"/>
          </w:tcPr>
          <w:p>
            <w:pPr>
              <w:widowControl/>
              <w:jc w:val="center"/>
              <w:rPr>
                <w:rFonts w:ascii="Times New Roman" w:hAnsi="Times New Roman" w:eastAsia="宋体" w:cs="Times New Roman"/>
                <w:kern w:val="0"/>
                <w:szCs w:val="21"/>
              </w:rPr>
            </w:pP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1.35</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0.0027</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0.024</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0.1215</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0.000243</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0.00216</w:t>
            </w:r>
          </w:p>
        </w:tc>
        <w:tc>
          <w:tcPr>
            <w:tcW w:w="843" w:type="dxa"/>
            <w:vMerge w:val="continue"/>
            <w:vAlign w:val="center"/>
          </w:tcPr>
          <w:p>
            <w:pPr>
              <w:widowControl/>
              <w:jc w:val="center"/>
              <w:rPr>
                <w:rFonts w:ascii="Times New Roman" w:hAnsi="Times New Roman" w:eastAsia="宋体" w:cs="Times New Roman"/>
                <w:kern w:val="0"/>
                <w:szCs w:val="21"/>
              </w:rPr>
            </w:pPr>
          </w:p>
        </w:tc>
        <w:tc>
          <w:tcPr>
            <w:tcW w:w="601"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1.31</w:t>
            </w:r>
          </w:p>
        </w:tc>
        <w:tc>
          <w:tcPr>
            <w:tcW w:w="731"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0.0026</w:t>
            </w:r>
          </w:p>
        </w:tc>
        <w:tc>
          <w:tcPr>
            <w:tcW w:w="620"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0.021</w:t>
            </w:r>
          </w:p>
        </w:tc>
        <w:tc>
          <w:tcPr>
            <w:tcW w:w="601"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0.12</w:t>
            </w:r>
          </w:p>
        </w:tc>
        <w:tc>
          <w:tcPr>
            <w:tcW w:w="731"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0.0002</w:t>
            </w:r>
          </w:p>
        </w:tc>
        <w:tc>
          <w:tcPr>
            <w:tcW w:w="734"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0.00188</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47" w:type="dxa"/>
            <w:vMerge w:val="restart"/>
            <w:tcBorders>
              <w:top w:val="single" w:color="auto" w:sz="4" w:space="0"/>
            </w:tcBorders>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无组织排放</w:t>
            </w:r>
          </w:p>
        </w:tc>
        <w:tc>
          <w:tcPr>
            <w:tcW w:w="1630" w:type="dxa"/>
            <w:tcBorders>
              <w:top w:val="single" w:color="auto" w:sz="4" w:space="0"/>
              <w:bottom w:val="single" w:color="auto"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装卸平台</w:t>
            </w:r>
          </w:p>
        </w:tc>
        <w:tc>
          <w:tcPr>
            <w:tcW w:w="112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非甲烷总烃</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0.1545</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1.3531</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0.1545</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1.3531</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0.1545</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1.3531</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0.1545</w:t>
            </w:r>
          </w:p>
        </w:tc>
        <w:tc>
          <w:tcPr>
            <w:tcW w:w="734"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1.3531</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47" w:type="dxa"/>
            <w:vMerge w:val="continue"/>
            <w:vAlign w:val="center"/>
          </w:tcPr>
          <w:p>
            <w:pPr>
              <w:widowControl/>
              <w:jc w:val="center"/>
              <w:rPr>
                <w:rFonts w:ascii="Times New Roman" w:hAnsi="Times New Roman" w:eastAsia="宋体" w:cs="Times New Roman"/>
                <w:kern w:val="0"/>
                <w:szCs w:val="21"/>
              </w:rPr>
            </w:pPr>
          </w:p>
        </w:tc>
        <w:tc>
          <w:tcPr>
            <w:tcW w:w="1630" w:type="dxa"/>
            <w:vMerge w:val="restart"/>
            <w:tcBorders>
              <w:top w:val="single" w:color="auto"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污水站</w:t>
            </w:r>
          </w:p>
        </w:tc>
        <w:tc>
          <w:tcPr>
            <w:tcW w:w="112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非甲烷总烃</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0.00365</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0.032</w:t>
            </w:r>
          </w:p>
        </w:tc>
        <w:tc>
          <w:tcPr>
            <w:tcW w:w="620" w:type="dxa"/>
            <w:vAlign w:val="center"/>
          </w:tcPr>
          <w:p>
            <w:pPr>
              <w:widowControl/>
              <w:jc w:val="center"/>
              <w:rPr>
                <w:rFonts w:ascii="Times New Roman" w:hAnsi="Times New Roman" w:eastAsia="宋体" w:cs="Times New Roman"/>
                <w:kern w:val="0"/>
                <w:szCs w:val="21"/>
              </w:rPr>
            </w:pP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0.00365</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0.032</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731"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0.0027</w:t>
            </w:r>
          </w:p>
        </w:tc>
        <w:tc>
          <w:tcPr>
            <w:tcW w:w="620"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0.0216</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731"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0.0027</w:t>
            </w:r>
          </w:p>
        </w:tc>
        <w:tc>
          <w:tcPr>
            <w:tcW w:w="734"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0.0216</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47" w:type="dxa"/>
            <w:vMerge w:val="continue"/>
            <w:vAlign w:val="center"/>
          </w:tcPr>
          <w:p>
            <w:pPr>
              <w:widowControl/>
              <w:jc w:val="center"/>
              <w:rPr>
                <w:rFonts w:ascii="Times New Roman" w:hAnsi="Times New Roman" w:eastAsia="宋体" w:cs="Times New Roman"/>
                <w:kern w:val="0"/>
                <w:szCs w:val="21"/>
              </w:rPr>
            </w:pPr>
          </w:p>
        </w:tc>
        <w:tc>
          <w:tcPr>
            <w:tcW w:w="1630" w:type="dxa"/>
            <w:vMerge w:val="continue"/>
            <w:vAlign w:val="center"/>
          </w:tcPr>
          <w:p>
            <w:pPr>
              <w:widowControl/>
              <w:jc w:val="center"/>
              <w:rPr>
                <w:rFonts w:ascii="Times New Roman" w:hAnsi="Times New Roman" w:eastAsia="宋体" w:cs="Times New Roman"/>
                <w:kern w:val="0"/>
                <w:szCs w:val="21"/>
              </w:rPr>
            </w:pPr>
          </w:p>
        </w:tc>
        <w:tc>
          <w:tcPr>
            <w:tcW w:w="112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NH</w:t>
            </w:r>
            <w:r>
              <w:rPr>
                <w:rFonts w:ascii="Times New Roman" w:hAnsi="Times New Roman" w:eastAsia="宋体" w:cs="Times New Roman"/>
                <w:kern w:val="0"/>
                <w:szCs w:val="21"/>
                <w:vertAlign w:val="subscript"/>
              </w:rPr>
              <w:t>3</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0.0065</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0.052</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0.0065</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0.052</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0.0057</w:t>
            </w:r>
          </w:p>
        </w:tc>
        <w:tc>
          <w:tcPr>
            <w:tcW w:w="620"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0.045</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0.0057</w:t>
            </w:r>
          </w:p>
        </w:tc>
        <w:tc>
          <w:tcPr>
            <w:tcW w:w="734"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0.045</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47" w:type="dxa"/>
            <w:vMerge w:val="continue"/>
            <w:vAlign w:val="center"/>
          </w:tcPr>
          <w:p>
            <w:pPr>
              <w:widowControl/>
              <w:jc w:val="center"/>
              <w:rPr>
                <w:rFonts w:ascii="Times New Roman" w:hAnsi="Times New Roman" w:eastAsia="宋体" w:cs="Times New Roman"/>
                <w:kern w:val="0"/>
                <w:szCs w:val="21"/>
              </w:rPr>
            </w:pPr>
          </w:p>
        </w:tc>
        <w:tc>
          <w:tcPr>
            <w:tcW w:w="1630" w:type="dxa"/>
            <w:vMerge w:val="continue"/>
            <w:vAlign w:val="center"/>
          </w:tcPr>
          <w:p>
            <w:pPr>
              <w:widowControl/>
              <w:jc w:val="center"/>
              <w:rPr>
                <w:rFonts w:ascii="Times New Roman" w:hAnsi="Times New Roman" w:eastAsia="宋体" w:cs="Times New Roman"/>
                <w:kern w:val="0"/>
                <w:szCs w:val="21"/>
              </w:rPr>
            </w:pPr>
          </w:p>
        </w:tc>
        <w:tc>
          <w:tcPr>
            <w:tcW w:w="112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H</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S</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0.0003</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0.0024</w:t>
            </w:r>
          </w:p>
        </w:tc>
        <w:tc>
          <w:tcPr>
            <w:tcW w:w="620"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0.0003</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0.0024</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731"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0.000</w:t>
            </w:r>
            <w:r>
              <w:rPr>
                <w:rFonts w:ascii="Times New Roman" w:hAnsi="Times New Roman" w:eastAsia="宋体" w:cs="Times New Roman"/>
                <w:kern w:val="0"/>
                <w:szCs w:val="21"/>
              </w:rPr>
              <w:t>26</w:t>
            </w:r>
          </w:p>
        </w:tc>
        <w:tc>
          <w:tcPr>
            <w:tcW w:w="620"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0.0021</w:t>
            </w:r>
          </w:p>
        </w:tc>
        <w:tc>
          <w:tcPr>
            <w:tcW w:w="60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731"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0.000</w:t>
            </w:r>
            <w:r>
              <w:rPr>
                <w:rFonts w:ascii="Times New Roman" w:hAnsi="Times New Roman" w:eastAsia="宋体" w:cs="Times New Roman"/>
                <w:kern w:val="0"/>
                <w:szCs w:val="21"/>
              </w:rPr>
              <w:t>26</w:t>
            </w:r>
          </w:p>
        </w:tc>
        <w:tc>
          <w:tcPr>
            <w:tcW w:w="734"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0.0021</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47" w:type="dxa"/>
            <w:vMerge w:val="restart"/>
            <w:vAlign w:val="center"/>
          </w:tcPr>
          <w:p>
            <w:pPr>
              <w:widowControl/>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rPr>
              <w:t>非正常状态下</w:t>
            </w:r>
          </w:p>
        </w:tc>
        <w:tc>
          <w:tcPr>
            <w:tcW w:w="1630" w:type="dxa"/>
            <w:vMerge w:val="restart"/>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生产车间</w:t>
            </w:r>
          </w:p>
        </w:tc>
        <w:tc>
          <w:tcPr>
            <w:tcW w:w="1121"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rPr>
              <w:t>非甲烷总烃</w:t>
            </w:r>
          </w:p>
        </w:tc>
        <w:tc>
          <w:tcPr>
            <w:tcW w:w="843" w:type="dxa"/>
            <w:vMerge w:val="restart"/>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rPr>
              <w:t>2624.8</w:t>
            </w:r>
          </w:p>
        </w:tc>
        <w:tc>
          <w:tcPr>
            <w:tcW w:w="601"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5.76</w:t>
            </w:r>
          </w:p>
        </w:tc>
        <w:tc>
          <w:tcPr>
            <w:tcW w:w="620"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w:t>
            </w:r>
          </w:p>
        </w:tc>
        <w:tc>
          <w:tcPr>
            <w:tcW w:w="620"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5.76</w:t>
            </w:r>
          </w:p>
        </w:tc>
        <w:tc>
          <w:tcPr>
            <w:tcW w:w="731"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w:t>
            </w:r>
          </w:p>
        </w:tc>
        <w:tc>
          <w:tcPr>
            <w:tcW w:w="843" w:type="dxa"/>
            <w:vMerge w:val="restart"/>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2624.8</w:t>
            </w:r>
          </w:p>
        </w:tc>
        <w:tc>
          <w:tcPr>
            <w:tcW w:w="601"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5.76</w:t>
            </w:r>
          </w:p>
        </w:tc>
        <w:tc>
          <w:tcPr>
            <w:tcW w:w="620"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w:t>
            </w:r>
          </w:p>
        </w:tc>
        <w:tc>
          <w:tcPr>
            <w:tcW w:w="601"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5.76</w:t>
            </w:r>
          </w:p>
        </w:tc>
        <w:tc>
          <w:tcPr>
            <w:tcW w:w="734"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1347" w:type="dxa"/>
            <w:vMerge w:val="continue"/>
            <w:vAlign w:val="center"/>
          </w:tcPr>
          <w:p>
            <w:pPr>
              <w:jc w:val="center"/>
              <w:rPr>
                <w:rFonts w:ascii="Times New Roman" w:hAnsi="Times New Roman" w:eastAsia="宋体" w:cs="Times New Roman"/>
                <w:kern w:val="0"/>
                <w:szCs w:val="21"/>
                <w:lang w:eastAsia="en-US"/>
              </w:rPr>
            </w:pPr>
          </w:p>
        </w:tc>
        <w:tc>
          <w:tcPr>
            <w:tcW w:w="1630" w:type="dxa"/>
            <w:vMerge w:val="continue"/>
            <w:vAlign w:val="center"/>
          </w:tcPr>
          <w:p>
            <w:pPr>
              <w:jc w:val="center"/>
              <w:rPr>
                <w:rFonts w:ascii="Times New Roman" w:hAnsi="Times New Roman" w:eastAsia="宋体" w:cs="Times New Roman"/>
                <w:kern w:val="0"/>
                <w:szCs w:val="21"/>
                <w:lang w:eastAsia="en-US"/>
              </w:rPr>
            </w:pPr>
          </w:p>
        </w:tc>
        <w:tc>
          <w:tcPr>
            <w:tcW w:w="1121"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H</w:t>
            </w:r>
            <w:r>
              <w:rPr>
                <w:rFonts w:ascii="Times New Roman" w:hAnsi="Times New Roman" w:eastAsia="宋体" w:cs="Times New Roman"/>
                <w:kern w:val="0"/>
                <w:szCs w:val="21"/>
                <w:vertAlign w:val="subscript"/>
                <w:lang w:eastAsia="en-US"/>
              </w:rPr>
              <w:t>2</w:t>
            </w:r>
            <w:r>
              <w:rPr>
                <w:rFonts w:ascii="Times New Roman" w:hAnsi="Times New Roman" w:eastAsia="宋体" w:cs="Times New Roman"/>
                <w:kern w:val="0"/>
                <w:szCs w:val="21"/>
                <w:lang w:eastAsia="en-US"/>
              </w:rPr>
              <w:t>S</w:t>
            </w:r>
          </w:p>
        </w:tc>
        <w:tc>
          <w:tcPr>
            <w:tcW w:w="843" w:type="dxa"/>
            <w:vMerge w:val="continue"/>
            <w:vAlign w:val="center"/>
          </w:tcPr>
          <w:p>
            <w:pPr>
              <w:jc w:val="center"/>
              <w:rPr>
                <w:rFonts w:ascii="Times New Roman" w:hAnsi="Times New Roman" w:eastAsia="宋体" w:cs="Times New Roman"/>
                <w:kern w:val="0"/>
                <w:szCs w:val="21"/>
                <w:lang w:eastAsia="en-US"/>
              </w:rPr>
            </w:pPr>
          </w:p>
        </w:tc>
        <w:tc>
          <w:tcPr>
            <w:tcW w:w="601"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1.02</w:t>
            </w:r>
          </w:p>
        </w:tc>
        <w:tc>
          <w:tcPr>
            <w:tcW w:w="620"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w:t>
            </w:r>
          </w:p>
        </w:tc>
        <w:tc>
          <w:tcPr>
            <w:tcW w:w="620"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w:t>
            </w:r>
          </w:p>
        </w:tc>
        <w:tc>
          <w:tcPr>
            <w:tcW w:w="84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1.02</w:t>
            </w:r>
          </w:p>
        </w:tc>
        <w:tc>
          <w:tcPr>
            <w:tcW w:w="731"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w:t>
            </w:r>
          </w:p>
        </w:tc>
        <w:tc>
          <w:tcPr>
            <w:tcW w:w="843" w:type="dxa"/>
            <w:vMerge w:val="continue"/>
            <w:vAlign w:val="center"/>
          </w:tcPr>
          <w:p>
            <w:pPr>
              <w:jc w:val="center"/>
              <w:rPr>
                <w:rFonts w:ascii="Times New Roman" w:hAnsi="Times New Roman" w:eastAsia="宋体" w:cs="Times New Roman"/>
                <w:kern w:val="0"/>
                <w:szCs w:val="21"/>
                <w:lang w:eastAsia="en-US"/>
              </w:rPr>
            </w:pPr>
          </w:p>
        </w:tc>
        <w:tc>
          <w:tcPr>
            <w:tcW w:w="601"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1.02</w:t>
            </w:r>
          </w:p>
        </w:tc>
        <w:tc>
          <w:tcPr>
            <w:tcW w:w="620"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w:t>
            </w:r>
          </w:p>
        </w:tc>
        <w:tc>
          <w:tcPr>
            <w:tcW w:w="601"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w:t>
            </w:r>
          </w:p>
        </w:tc>
        <w:tc>
          <w:tcPr>
            <w:tcW w:w="73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1.02</w:t>
            </w:r>
          </w:p>
        </w:tc>
        <w:tc>
          <w:tcPr>
            <w:tcW w:w="734"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w:t>
            </w:r>
          </w:p>
        </w:tc>
      </w:tr>
    </w:tbl>
    <w:p>
      <w:pPr>
        <w:pStyle w:val="24"/>
        <w:ind w:firstLine="480"/>
        <w:rPr>
          <w:color w:val="auto"/>
        </w:rPr>
      </w:pPr>
    </w:p>
    <w:p>
      <w:pPr>
        <w:pStyle w:val="24"/>
        <w:ind w:firstLine="0" w:firstLineChars="0"/>
        <w:rPr>
          <w:color w:val="auto"/>
        </w:rPr>
        <w:sectPr>
          <w:pgSz w:w="16838" w:h="11906" w:orient="landscape"/>
          <w:pgMar w:top="1800" w:right="1440" w:bottom="1800" w:left="1440" w:header="851" w:footer="992" w:gutter="0"/>
          <w:cols w:space="425" w:num="1"/>
          <w:docGrid w:type="lines" w:linePitch="312" w:charSpace="0"/>
        </w:sectPr>
      </w:pPr>
    </w:p>
    <w:p>
      <w:pPr>
        <w:pStyle w:val="40"/>
        <w:rPr>
          <w:snapToGrid w:val="0"/>
          <w:color w:val="auto"/>
        </w:rPr>
      </w:pPr>
      <w:bookmarkStart w:id="47" w:name="_Toc8391546"/>
      <w:r>
        <w:rPr>
          <w:rFonts w:hint="eastAsia"/>
          <w:snapToGrid w:val="0"/>
          <w:color w:val="auto"/>
        </w:rPr>
        <w:t>3.</w:t>
      </w:r>
      <w:r>
        <w:rPr>
          <w:snapToGrid w:val="0"/>
          <w:color w:val="auto"/>
        </w:rPr>
        <w:t>8</w:t>
      </w:r>
      <w:r>
        <w:rPr>
          <w:rFonts w:hint="eastAsia"/>
          <w:snapToGrid w:val="0"/>
          <w:color w:val="auto"/>
        </w:rPr>
        <w:t>.2 废水</w:t>
      </w:r>
      <w:bookmarkEnd w:id="47"/>
    </w:p>
    <w:p>
      <w:pPr>
        <w:spacing w:line="480" w:lineRule="exact"/>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项目变更后，工艺路线中去掉了糠醛精制工序，</w:t>
      </w:r>
      <w:r>
        <w:rPr>
          <w:rFonts w:ascii="Times New Roman" w:hAnsi="Times New Roman" w:eastAsia="宋体" w:cs="Times New Roman"/>
          <w:b/>
          <w:sz w:val="24"/>
          <w:szCs w:val="24"/>
        </w:rPr>
        <w:t>从而</w:t>
      </w:r>
      <w:r>
        <w:rPr>
          <w:rFonts w:hint="eastAsia" w:ascii="Times New Roman" w:hAnsi="Times New Roman" w:eastAsia="宋体" w:cs="Times New Roman"/>
          <w:b/>
          <w:sz w:val="24"/>
          <w:szCs w:val="24"/>
        </w:rPr>
        <w:t>减少了该部分的蒸汽消耗和含油废水的产生，</w:t>
      </w:r>
      <w:r>
        <w:rPr>
          <w:rFonts w:ascii="Times New Roman" w:hAnsi="Times New Roman" w:eastAsia="宋体" w:cs="Times New Roman"/>
          <w:b/>
          <w:sz w:val="24"/>
          <w:szCs w:val="24"/>
        </w:rPr>
        <w:t>丙烷</w:t>
      </w:r>
      <w:r>
        <w:rPr>
          <w:rFonts w:hint="eastAsia" w:ascii="Times New Roman" w:hAnsi="Times New Roman" w:eastAsia="宋体" w:cs="Times New Roman"/>
          <w:b/>
          <w:sz w:val="24"/>
          <w:szCs w:val="24"/>
        </w:rPr>
        <w:t>精制和减压蒸馏过程中产生的含油汽提冷凝水回用至预处理单元的三注工序。变更后，</w:t>
      </w:r>
      <w:r>
        <w:rPr>
          <w:rFonts w:ascii="Times New Roman" w:hAnsi="Times New Roman" w:eastAsia="宋体" w:cs="Times New Roman"/>
          <w:b/>
          <w:sz w:val="24"/>
          <w:szCs w:val="24"/>
        </w:rPr>
        <w:t>全厂</w:t>
      </w:r>
      <w:r>
        <w:rPr>
          <w:rFonts w:hint="eastAsia" w:ascii="Times New Roman" w:hAnsi="Times New Roman" w:eastAsia="宋体" w:cs="Times New Roman"/>
          <w:b/>
          <w:sz w:val="24"/>
          <w:szCs w:val="24"/>
        </w:rPr>
        <w:t>废水排放总量减少，</w:t>
      </w:r>
      <w:r>
        <w:rPr>
          <w:rFonts w:hint="eastAsia" w:ascii="Times New Roman" w:hAnsi="Times New Roman" w:eastAsia="宋体" w:cs="Times New Roman"/>
          <w:sz w:val="24"/>
          <w:szCs w:val="24"/>
        </w:rPr>
        <w:t>各股废水产排情况如下：</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生产工艺废水</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项目生产工艺废水主要是预处理单元沉降器和三注工序产生的含油废水。生产废水排放量为</w:t>
      </w:r>
      <w:r>
        <w:rPr>
          <w:rFonts w:ascii="Times New Roman" w:hAnsi="Times New Roman" w:eastAsia="宋体" w:cs="Times New Roman"/>
          <w:sz w:val="24"/>
          <w:szCs w:val="24"/>
        </w:rPr>
        <w:t>20.832m</w:t>
      </w:r>
      <w:r>
        <w:rPr>
          <w:rFonts w:ascii="Times New Roman" w:hAnsi="Times New Roman" w:eastAsia="宋体"/>
          <w:kern w:val="0"/>
          <w:sz w:val="24"/>
          <w:szCs w:val="24"/>
        </w:rPr>
        <w:t>³</w:t>
      </w:r>
      <w:r>
        <w:rPr>
          <w:rFonts w:ascii="Times New Roman" w:hAnsi="Times New Roman" w:eastAsia="宋体" w:cs="Times New Roman"/>
          <w:sz w:val="24"/>
          <w:szCs w:val="24"/>
        </w:rPr>
        <w:t>/d</w:t>
      </w:r>
      <w:r>
        <w:rPr>
          <w:rFonts w:hint="eastAsia" w:ascii="Times New Roman" w:hAnsi="Times New Roman" w:eastAsia="宋体" w:cs="Times New Roman"/>
          <w:sz w:val="24"/>
          <w:szCs w:val="24"/>
        </w:rPr>
        <w:t>（</w:t>
      </w:r>
      <w:r>
        <w:rPr>
          <w:rFonts w:ascii="Times New Roman" w:hAnsi="Times New Roman" w:eastAsia="宋体" w:cs="Times New Roman"/>
          <w:sz w:val="24"/>
          <w:szCs w:val="24"/>
        </w:rPr>
        <w:t>6874.56 m</w:t>
      </w:r>
      <w:r>
        <w:rPr>
          <w:rFonts w:ascii="Times New Roman" w:hAnsi="Times New Roman" w:eastAsia="宋体"/>
          <w:kern w:val="0"/>
          <w:sz w:val="24"/>
          <w:szCs w:val="24"/>
        </w:rPr>
        <w:t>³</w:t>
      </w:r>
      <w:r>
        <w:rPr>
          <w:rFonts w:ascii="Times New Roman" w:hAnsi="Times New Roman" w:eastAsia="宋体" w:cs="Times New Roman"/>
          <w:sz w:val="24"/>
          <w:szCs w:val="24"/>
        </w:rPr>
        <w:t>/a</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（2）循环水池外排水</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本项目设</w:t>
      </w:r>
      <w:r>
        <w:rPr>
          <w:rFonts w:ascii="Times New Roman" w:hAnsi="Times New Roman" w:eastAsia="宋体" w:cs="Times New Roman"/>
          <w:sz w:val="24"/>
          <w:szCs w:val="24"/>
        </w:rPr>
        <w:t>有1个1000m³/h的循环水池，</w:t>
      </w:r>
      <w:r>
        <w:rPr>
          <w:rFonts w:hint="eastAsia" w:ascii="Times New Roman" w:hAnsi="Times New Roman" w:eastAsia="宋体" w:cs="Times New Roman"/>
          <w:sz w:val="24"/>
          <w:szCs w:val="24"/>
        </w:rPr>
        <w:t>循环水冷却水系统主要供给装置单元内的冷凝冷却器</w:t>
      </w:r>
      <w:r>
        <w:rPr>
          <w:rFonts w:ascii="Times New Roman" w:hAnsi="Times New Roman" w:eastAsia="宋体" w:cs="Times New Roman"/>
          <w:sz w:val="24"/>
          <w:szCs w:val="24"/>
        </w:rPr>
        <w:t>、</w:t>
      </w:r>
      <w:r>
        <w:rPr>
          <w:rFonts w:hint="eastAsia" w:ascii="Times New Roman" w:hAnsi="Times New Roman" w:eastAsia="宋体" w:cs="Times New Roman"/>
          <w:sz w:val="24"/>
          <w:szCs w:val="24"/>
        </w:rPr>
        <w:t>机泵等设备的冷却用水，冷却后的出水排入循环冷却水回水管道。</w:t>
      </w:r>
      <w:r>
        <w:rPr>
          <w:rFonts w:ascii="Times New Roman" w:hAnsi="Times New Roman" w:eastAsia="宋体" w:cs="Times New Roman"/>
          <w:sz w:val="24"/>
          <w:szCs w:val="24"/>
        </w:rPr>
        <w:t>冷却水由循环水池经循环水泵升压后</w:t>
      </w:r>
      <w:r>
        <w:rPr>
          <w:rFonts w:hint="eastAsia" w:ascii="Times New Roman" w:hAnsi="Times New Roman" w:eastAsia="宋体" w:cs="Times New Roman"/>
          <w:sz w:val="24"/>
          <w:szCs w:val="24"/>
        </w:rPr>
        <w:t>送至</w:t>
      </w:r>
      <w:r>
        <w:rPr>
          <w:rFonts w:ascii="Times New Roman" w:hAnsi="Times New Roman" w:eastAsia="宋体" w:cs="Times New Roman"/>
          <w:sz w:val="24"/>
          <w:szCs w:val="24"/>
        </w:rPr>
        <w:t>装置</w:t>
      </w:r>
      <w:r>
        <w:rPr>
          <w:rFonts w:hint="eastAsia" w:ascii="Times New Roman" w:hAnsi="Times New Roman" w:eastAsia="宋体" w:cs="Times New Roman"/>
          <w:sz w:val="24"/>
          <w:szCs w:val="24"/>
        </w:rPr>
        <w:t>内</w:t>
      </w:r>
      <w:r>
        <w:rPr>
          <w:rFonts w:ascii="Times New Roman" w:hAnsi="Times New Roman" w:eastAsia="宋体" w:cs="Times New Roman"/>
          <w:sz w:val="24"/>
          <w:szCs w:val="24"/>
        </w:rPr>
        <w:t>各</w:t>
      </w:r>
      <w:r>
        <w:rPr>
          <w:rFonts w:hint="eastAsia" w:ascii="Times New Roman" w:hAnsi="Times New Roman" w:eastAsia="宋体" w:cs="Times New Roman"/>
          <w:sz w:val="24"/>
          <w:szCs w:val="24"/>
        </w:rPr>
        <w:t>冷凝</w:t>
      </w:r>
      <w:r>
        <w:rPr>
          <w:rFonts w:ascii="Times New Roman" w:hAnsi="Times New Roman" w:eastAsia="宋体" w:cs="Times New Roman"/>
          <w:sz w:val="24"/>
          <w:szCs w:val="24"/>
        </w:rPr>
        <w:t>冷却</w:t>
      </w:r>
      <w:r>
        <w:rPr>
          <w:rFonts w:hint="eastAsia" w:ascii="Times New Roman" w:hAnsi="Times New Roman" w:eastAsia="宋体" w:cs="Times New Roman"/>
          <w:sz w:val="24"/>
          <w:szCs w:val="24"/>
        </w:rPr>
        <w:t>器</w:t>
      </w:r>
      <w:r>
        <w:rPr>
          <w:rFonts w:ascii="Times New Roman" w:hAnsi="Times New Roman" w:eastAsia="宋体" w:cs="Times New Roman"/>
          <w:sz w:val="24"/>
          <w:szCs w:val="24"/>
        </w:rPr>
        <w:t>与</w:t>
      </w:r>
      <w:r>
        <w:rPr>
          <w:rFonts w:hint="eastAsia" w:ascii="Times New Roman" w:hAnsi="Times New Roman" w:eastAsia="宋体" w:cs="Times New Roman"/>
          <w:sz w:val="24"/>
          <w:szCs w:val="24"/>
        </w:rPr>
        <w:t>介质</w:t>
      </w:r>
      <w:r>
        <w:rPr>
          <w:rFonts w:ascii="Times New Roman" w:hAnsi="Times New Roman" w:eastAsia="宋体" w:cs="Times New Roman"/>
          <w:sz w:val="24"/>
          <w:szCs w:val="24"/>
        </w:rPr>
        <w:t>进行换热。</w:t>
      </w:r>
      <w:r>
        <w:rPr>
          <w:rFonts w:hint="eastAsia" w:ascii="Times New Roman" w:hAnsi="Times New Roman" w:eastAsia="宋体" w:cs="Times New Roman"/>
          <w:sz w:val="24"/>
          <w:szCs w:val="24"/>
        </w:rPr>
        <w:t>换热</w:t>
      </w:r>
      <w:r>
        <w:rPr>
          <w:rFonts w:ascii="Times New Roman" w:hAnsi="Times New Roman" w:eastAsia="宋体" w:cs="Times New Roman"/>
          <w:sz w:val="24"/>
          <w:szCs w:val="24"/>
        </w:rPr>
        <w:t>后的循环热水返回到循环水池进行冷</w:t>
      </w:r>
      <w:r>
        <w:rPr>
          <w:rFonts w:hint="eastAsia" w:ascii="Times New Roman" w:hAnsi="Times New Roman" w:eastAsia="宋体" w:cs="Times New Roman"/>
          <w:sz w:val="24"/>
          <w:szCs w:val="24"/>
        </w:rPr>
        <w:t>却回用</w:t>
      </w:r>
      <w:r>
        <w:rPr>
          <w:rFonts w:ascii="Times New Roman" w:hAnsi="Times New Roman" w:eastAsia="宋体" w:cs="Times New Roman"/>
          <w:sz w:val="24"/>
          <w:szCs w:val="24"/>
        </w:rPr>
        <w:t>。循环水池的补水为自来水及回用水</w:t>
      </w:r>
      <w:r>
        <w:rPr>
          <w:rFonts w:hint="eastAsia" w:ascii="Times New Roman" w:hAnsi="Times New Roman" w:eastAsia="宋体" w:cs="Times New Roman"/>
          <w:sz w:val="24"/>
          <w:szCs w:val="24"/>
        </w:rPr>
        <w:t>。</w:t>
      </w:r>
      <w:r>
        <w:rPr>
          <w:rFonts w:ascii="Times New Roman" w:hAnsi="Times New Roman" w:eastAsia="宋体" w:cs="Times New Roman"/>
          <w:sz w:val="24"/>
          <w:szCs w:val="24"/>
        </w:rPr>
        <w:t>循环</w:t>
      </w:r>
      <w:r>
        <w:rPr>
          <w:rFonts w:hint="eastAsia" w:ascii="Times New Roman" w:hAnsi="Times New Roman" w:eastAsia="宋体" w:cs="Times New Roman"/>
          <w:sz w:val="24"/>
          <w:szCs w:val="24"/>
        </w:rPr>
        <w:t>冷却塔排水为清净下水，直接排至园区污水处理管网。</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由于本项目冷却循环水系统运行一定时间后，循环水系统排放浓水含有一定COD、石油类、SS 污染物，污染物会浓缩，因此循环水每天都要定时排污，</w:t>
      </w:r>
      <w:r>
        <w:rPr>
          <w:rFonts w:ascii="Times New Roman" w:hAnsi="Times New Roman" w:eastAsia="宋体" w:cs="Times New Roman"/>
          <w:sz w:val="24"/>
          <w:szCs w:val="24"/>
        </w:rPr>
        <w:t>循环</w:t>
      </w:r>
      <w:r>
        <w:rPr>
          <w:rFonts w:hint="eastAsia" w:ascii="Times New Roman" w:hAnsi="Times New Roman" w:eastAsia="宋体" w:cs="Times New Roman"/>
          <w:sz w:val="24"/>
          <w:szCs w:val="24"/>
        </w:rPr>
        <w:t>冷却塔排水为清净下水，直接排至园区污水处理管网。项目循环水系统排水量约为168.0m³/d（</w:t>
      </w:r>
      <w:r>
        <w:rPr>
          <w:rFonts w:ascii="Times New Roman" w:hAnsi="Times New Roman" w:eastAsia="宋体" w:cs="Times New Roman"/>
          <w:sz w:val="24"/>
          <w:szCs w:val="24"/>
        </w:rPr>
        <w:t>55440 m³/a</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（3）化验室清洗水</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项目实验中心每个样品做每个实验过后均有少量的仪器清洗废水产生。每天产生清洗水1.8m³/d，年产生量为594t/a。</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（4）生活污水</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项目劳动定员80人，</w:t>
      </w:r>
      <w:r>
        <w:rPr>
          <w:rFonts w:ascii="Times New Roman" w:hAnsi="Times New Roman" w:eastAsia="宋体" w:cs="Times New Roman"/>
          <w:sz w:val="24"/>
          <w:szCs w:val="24"/>
        </w:rPr>
        <w:t>职工均为附近居民</w:t>
      </w:r>
      <w:r>
        <w:rPr>
          <w:rFonts w:hint="eastAsia" w:ascii="Times New Roman" w:hAnsi="Times New Roman" w:eastAsia="宋体" w:cs="Times New Roman"/>
          <w:sz w:val="24"/>
          <w:szCs w:val="24"/>
        </w:rPr>
        <w:t>，均不在</w:t>
      </w:r>
      <w:r>
        <w:rPr>
          <w:rFonts w:ascii="Times New Roman" w:hAnsi="Times New Roman" w:eastAsia="宋体" w:cs="Times New Roman"/>
          <w:sz w:val="24"/>
          <w:szCs w:val="24"/>
        </w:rPr>
        <w:t>厂内</w:t>
      </w:r>
      <w:r>
        <w:rPr>
          <w:rFonts w:hint="eastAsia" w:ascii="Times New Roman" w:hAnsi="Times New Roman" w:eastAsia="宋体" w:cs="Times New Roman"/>
          <w:sz w:val="24"/>
          <w:szCs w:val="24"/>
        </w:rPr>
        <w:t>食宿</w:t>
      </w:r>
      <w:r>
        <w:rPr>
          <w:rFonts w:ascii="Times New Roman" w:hAnsi="Times New Roman" w:eastAsia="宋体" w:cs="Times New Roman"/>
          <w:sz w:val="24"/>
          <w:szCs w:val="24"/>
        </w:rPr>
        <w:t>。根据《河南省地方标准</w:t>
      </w:r>
      <w:r>
        <w:rPr>
          <w:rFonts w:hint="eastAsia" w:ascii="Times New Roman" w:hAnsi="Times New Roman" w:eastAsia="宋体" w:cs="Times New Roman"/>
          <w:sz w:val="24"/>
          <w:szCs w:val="24"/>
        </w:rPr>
        <w:t>-工业与城镇生活</w:t>
      </w:r>
      <w:r>
        <w:rPr>
          <w:rFonts w:ascii="Times New Roman" w:hAnsi="Times New Roman" w:eastAsia="宋体" w:cs="Times New Roman"/>
          <w:sz w:val="24"/>
          <w:szCs w:val="24"/>
        </w:rPr>
        <w:t>用水定额》（DB41/T385-2014）</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《建筑给水排水设计规范》（GB50015-2009)相关规定，生活</w:t>
      </w:r>
      <w:r>
        <w:rPr>
          <w:rFonts w:hint="eastAsia" w:ascii="Times New Roman" w:hAnsi="Times New Roman" w:eastAsia="宋体" w:cs="Times New Roman"/>
          <w:sz w:val="24"/>
          <w:szCs w:val="24"/>
        </w:rPr>
        <w:t>用</w:t>
      </w:r>
      <w:r>
        <w:rPr>
          <w:rFonts w:ascii="Times New Roman" w:hAnsi="Times New Roman" w:eastAsia="宋体" w:cs="Times New Roman"/>
          <w:sz w:val="24"/>
          <w:szCs w:val="24"/>
        </w:rPr>
        <w:t>水量以人均100L/d计，</w:t>
      </w:r>
      <w:r>
        <w:rPr>
          <w:rFonts w:hint="eastAsia" w:ascii="Times New Roman" w:hAnsi="Times New Roman" w:eastAsia="宋体" w:cs="Times New Roman"/>
          <w:sz w:val="24"/>
          <w:szCs w:val="24"/>
        </w:rPr>
        <w:t>用水量为8.0m³/d（2640</w:t>
      </w:r>
      <w:r>
        <w:rPr>
          <w:rFonts w:ascii="Times New Roman" w:hAnsi="Times New Roman" w:eastAsia="宋体" w:cs="Times New Roman"/>
          <w:sz w:val="24"/>
          <w:szCs w:val="24"/>
        </w:rPr>
        <w:t>m³/a</w:t>
      </w:r>
      <w:r>
        <w:rPr>
          <w:rFonts w:hint="eastAsia" w:ascii="Times New Roman" w:hAnsi="Times New Roman" w:eastAsia="宋体" w:cs="Times New Roman"/>
          <w:sz w:val="24"/>
          <w:szCs w:val="24"/>
        </w:rPr>
        <w:t>）。生活污水量按新鲜用水量的80%计算，则项目每天排放生活污水量为6.4m³/d（2112</w:t>
      </w:r>
      <w:r>
        <w:rPr>
          <w:rFonts w:ascii="Times New Roman" w:hAnsi="Times New Roman" w:eastAsia="宋体" w:cs="Times New Roman"/>
          <w:sz w:val="24"/>
          <w:szCs w:val="24"/>
        </w:rPr>
        <w:t>m³/a</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（5）地面冲洗水</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根据本项目工艺生产需求，主要考虑生产装置区、罐区、装卸区的地面冲洗。参考《建筑给排水设计规范》（GB50015-2003）（2009年版），取2.5L/m</w:t>
      </w:r>
      <w:r>
        <w:rPr>
          <w:rFonts w:hint="eastAsia" w:ascii="Times New Roman" w:hAnsi="Times New Roman" w:eastAsia="宋体" w:cs="Times New Roman"/>
          <w:sz w:val="24"/>
          <w:szCs w:val="24"/>
          <w:vertAlign w:val="superscript"/>
        </w:rPr>
        <w:t>2.</w:t>
      </w:r>
      <w:r>
        <w:rPr>
          <w:rFonts w:hint="eastAsia" w:ascii="Times New Roman" w:hAnsi="Times New Roman" w:eastAsia="宋体" w:cs="Times New Roman"/>
          <w:sz w:val="24"/>
          <w:szCs w:val="24"/>
        </w:rPr>
        <w:t>次；每天清洗一次，则地面冲洗用水量约20m³/d（6600m³/a）。部分蒸发损失，损失量约为用水量10%，废水产生量约为用水量的90%，18m³/d，5940m³/a。</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（6）原料罐区废水</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原料油中含有部分水分，定期从原料罐中排出，</w:t>
      </w:r>
      <w:r>
        <w:rPr>
          <w:rFonts w:ascii="Times New Roman" w:hAnsi="Times New Roman" w:eastAsia="宋体" w:cs="Times New Roman"/>
          <w:sz w:val="24"/>
          <w:szCs w:val="24"/>
        </w:rPr>
        <w:t>废水的产生量约为</w:t>
      </w:r>
      <w:r>
        <w:rPr>
          <w:rFonts w:hint="eastAsia" w:ascii="Times New Roman" w:hAnsi="Times New Roman" w:eastAsia="宋体" w:cs="Times New Roman"/>
          <w:sz w:val="24"/>
          <w:szCs w:val="24"/>
        </w:rPr>
        <w:t>5.0</w:t>
      </w:r>
      <w:r>
        <w:rPr>
          <w:rFonts w:ascii="Times New Roman" w:hAnsi="Times New Roman" w:eastAsia="宋体" w:cs="Times New Roman"/>
          <w:sz w:val="24"/>
          <w:szCs w:val="24"/>
        </w:rPr>
        <w:t>m³/d（</w:t>
      </w:r>
      <w:r>
        <w:rPr>
          <w:rFonts w:hint="eastAsia" w:ascii="Times New Roman" w:hAnsi="Times New Roman" w:eastAsia="宋体" w:cs="Times New Roman"/>
          <w:sz w:val="24"/>
          <w:szCs w:val="24"/>
        </w:rPr>
        <w:t>1650</w:t>
      </w:r>
      <w:r>
        <w:rPr>
          <w:rFonts w:ascii="Times New Roman" w:hAnsi="Times New Roman" w:eastAsia="宋体" w:cs="Times New Roman"/>
          <w:sz w:val="24"/>
          <w:szCs w:val="24"/>
        </w:rPr>
        <w:t>m³/a）</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绿化用水</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本项目建成后，绿地面积共计10000m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，绿化用水按</w:t>
      </w:r>
      <w:r>
        <w:rPr>
          <w:rFonts w:hint="eastAsia" w:ascii="Times New Roman" w:hAnsi="Times New Roman" w:eastAsia="宋体" w:cs="Times New Roman"/>
          <w:sz w:val="24"/>
          <w:szCs w:val="24"/>
        </w:rPr>
        <w:t>2</w:t>
      </w:r>
      <w:r>
        <w:rPr>
          <w:rFonts w:ascii="Times New Roman" w:hAnsi="Times New Roman" w:eastAsia="宋体" w:cs="Times New Roman"/>
          <w:sz w:val="24"/>
          <w:szCs w:val="24"/>
        </w:rPr>
        <w:t>.0L/m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计算，绿化用水为新鲜自来水，全部进入土壤，不产生废水。</w:t>
      </w:r>
    </w:p>
    <w:p>
      <w:pPr>
        <w:spacing w:line="480" w:lineRule="exact"/>
        <w:ind w:firstLine="480" w:firstLineChars="200"/>
        <w:rPr>
          <w:rFonts w:ascii="Times New Roman" w:hAnsi="Times New Roman" w:eastAsia="宋体" w:cs="Times New Roman"/>
          <w:sz w:val="24"/>
          <w:szCs w:val="24"/>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sz w:val="24"/>
          <w:szCs w:val="24"/>
        </w:rPr>
        <w:t>项目</w:t>
      </w:r>
      <w:r>
        <w:rPr>
          <w:rFonts w:hint="eastAsia" w:ascii="Times New Roman" w:hAnsi="Times New Roman" w:eastAsia="宋体" w:cs="Times New Roman"/>
          <w:sz w:val="24"/>
          <w:szCs w:val="24"/>
        </w:rPr>
        <w:t>变更后废水</w:t>
      </w:r>
      <w:r>
        <w:rPr>
          <w:rFonts w:ascii="Times New Roman" w:hAnsi="Times New Roman" w:eastAsia="宋体" w:cs="Times New Roman"/>
          <w:sz w:val="24"/>
          <w:szCs w:val="24"/>
        </w:rPr>
        <w:t>排放情况汇总见表3.8-9。</w:t>
      </w:r>
    </w:p>
    <w:p>
      <w:pPr>
        <w:tabs>
          <w:tab w:val="left" w:pos="275"/>
        </w:tabs>
        <w:ind w:firstLine="480" w:firstLineChars="200"/>
        <w:jc w:val="left"/>
        <w:rPr>
          <w:rFonts w:ascii="Times New Roman" w:hAnsi="Times New Roman" w:eastAsia="黑体"/>
          <w:sz w:val="24"/>
          <w:szCs w:val="24"/>
        </w:rPr>
      </w:pPr>
      <w:r>
        <w:rPr>
          <w:rFonts w:hint="eastAsia" w:ascii="Times New Roman" w:hAnsi="Times New Roman" w:eastAsia="黑体"/>
          <w:sz w:val="24"/>
          <w:szCs w:val="24"/>
        </w:rPr>
        <w:t>表3.</w:t>
      </w:r>
      <w:r>
        <w:rPr>
          <w:rFonts w:ascii="Times New Roman" w:hAnsi="Times New Roman" w:eastAsia="黑体"/>
          <w:sz w:val="24"/>
          <w:szCs w:val="24"/>
        </w:rPr>
        <w:t xml:space="preserve">8-9             </w:t>
      </w:r>
      <w:r>
        <w:rPr>
          <w:rFonts w:hint="eastAsia" w:ascii="Times New Roman" w:hAnsi="Times New Roman" w:eastAsia="黑体"/>
          <w:sz w:val="24"/>
          <w:szCs w:val="24"/>
        </w:rPr>
        <w:t xml:space="preserve">      </w:t>
      </w:r>
      <w:r>
        <w:rPr>
          <w:rFonts w:ascii="Times New Roman" w:hAnsi="Times New Roman" w:eastAsia="黑体"/>
          <w:sz w:val="24"/>
          <w:szCs w:val="24"/>
        </w:rPr>
        <w:t xml:space="preserve">   </w:t>
      </w:r>
      <w:r>
        <w:rPr>
          <w:rFonts w:hint="eastAsia" w:ascii="Times New Roman" w:hAnsi="Times New Roman" w:eastAsia="黑体"/>
          <w:sz w:val="24"/>
          <w:szCs w:val="24"/>
        </w:rPr>
        <w:t>项目变更后废水</w:t>
      </w:r>
      <w:r>
        <w:rPr>
          <w:rFonts w:ascii="Times New Roman" w:hAnsi="Times New Roman" w:eastAsia="黑体"/>
          <w:sz w:val="24"/>
          <w:szCs w:val="24"/>
        </w:rPr>
        <w:t>污染源源强核算结果及相关参数一览表</w:t>
      </w:r>
    </w:p>
    <w:tbl>
      <w:tblPr>
        <w:tblStyle w:val="19"/>
        <w:tblW w:w="13952"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18"/>
        <w:gridCol w:w="838"/>
        <w:gridCol w:w="844"/>
        <w:gridCol w:w="591"/>
        <w:gridCol w:w="850"/>
        <w:gridCol w:w="992"/>
        <w:gridCol w:w="993"/>
        <w:gridCol w:w="708"/>
        <w:gridCol w:w="851"/>
        <w:gridCol w:w="992"/>
        <w:gridCol w:w="1483"/>
        <w:gridCol w:w="1210"/>
        <w:gridCol w:w="519"/>
        <w:gridCol w:w="1139"/>
        <w:gridCol w:w="1115"/>
        <w:gridCol w:w="40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blHeader/>
          <w:jc w:val="center"/>
        </w:trPr>
        <w:tc>
          <w:tcPr>
            <w:tcW w:w="418"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污染物排放点</w:t>
            </w:r>
          </w:p>
        </w:tc>
        <w:tc>
          <w:tcPr>
            <w:tcW w:w="838"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污染源</w:t>
            </w:r>
          </w:p>
        </w:tc>
        <w:tc>
          <w:tcPr>
            <w:tcW w:w="844"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污染物</w:t>
            </w:r>
          </w:p>
        </w:tc>
        <w:tc>
          <w:tcPr>
            <w:tcW w:w="3426" w:type="dxa"/>
            <w:gridSpan w:val="4"/>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污染物产生</w:t>
            </w:r>
          </w:p>
        </w:tc>
        <w:tc>
          <w:tcPr>
            <w:tcW w:w="708"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治理措施</w:t>
            </w:r>
          </w:p>
        </w:tc>
        <w:tc>
          <w:tcPr>
            <w:tcW w:w="4536" w:type="dxa"/>
            <w:gridSpan w:val="4"/>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污染物排放</w:t>
            </w:r>
          </w:p>
        </w:tc>
        <w:tc>
          <w:tcPr>
            <w:tcW w:w="519"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排放时间（d）</w:t>
            </w:r>
          </w:p>
        </w:tc>
        <w:tc>
          <w:tcPr>
            <w:tcW w:w="2663" w:type="dxa"/>
            <w:gridSpan w:val="3"/>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达标情况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blHeade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44"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591"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核算方法</w:t>
            </w:r>
          </w:p>
        </w:tc>
        <w:tc>
          <w:tcPr>
            <w:tcW w:w="850"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废水量</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m</w:t>
            </w:r>
            <w:r>
              <w:rPr>
                <w:rFonts w:ascii="Times New Roman" w:hAnsi="Times New Roman" w:eastAsia="宋体" w:cs="Times New Roman"/>
                <w:kern w:val="0"/>
                <w:sz w:val="18"/>
                <w:szCs w:val="18"/>
                <w:vertAlign w:val="superscript"/>
              </w:rPr>
              <w:t>3</w:t>
            </w:r>
            <w:r>
              <w:rPr>
                <w:rFonts w:ascii="Times New Roman" w:hAnsi="Times New Roman" w:eastAsia="宋体" w:cs="Times New Roman"/>
                <w:kern w:val="0"/>
                <w:sz w:val="18"/>
                <w:szCs w:val="18"/>
              </w:rPr>
              <w:t>/d</w:t>
            </w:r>
            <w:r>
              <w:rPr>
                <w:rFonts w:hint="eastAsia" w:ascii="Times New Roman" w:hAnsi="Times New Roman" w:eastAsia="宋体" w:cs="Times New Roman"/>
                <w:kern w:val="0"/>
                <w:sz w:val="18"/>
                <w:szCs w:val="18"/>
              </w:rPr>
              <w:t>）</w:t>
            </w:r>
          </w:p>
        </w:tc>
        <w:tc>
          <w:tcPr>
            <w:tcW w:w="992"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产生浓度（mg/L）</w:t>
            </w:r>
          </w:p>
        </w:tc>
        <w:tc>
          <w:tcPr>
            <w:tcW w:w="993"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产生量（kg/d）</w:t>
            </w:r>
          </w:p>
        </w:tc>
        <w:tc>
          <w:tcPr>
            <w:tcW w:w="708"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工艺</w:t>
            </w:r>
          </w:p>
        </w:tc>
        <w:tc>
          <w:tcPr>
            <w:tcW w:w="851"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核算方法</w:t>
            </w:r>
          </w:p>
        </w:tc>
        <w:tc>
          <w:tcPr>
            <w:tcW w:w="992"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排放废水量(m</w:t>
            </w:r>
            <w:r>
              <w:rPr>
                <w:rFonts w:ascii="Times New Roman" w:hAnsi="Times New Roman" w:eastAsia="宋体" w:cs="Times New Roman"/>
                <w:kern w:val="0"/>
                <w:sz w:val="18"/>
                <w:szCs w:val="18"/>
                <w:vertAlign w:val="superscript"/>
              </w:rPr>
              <w:t>3</w:t>
            </w:r>
            <w:r>
              <w:rPr>
                <w:rFonts w:ascii="Times New Roman" w:hAnsi="Times New Roman" w:eastAsia="宋体" w:cs="Times New Roman"/>
                <w:kern w:val="0"/>
                <w:sz w:val="18"/>
                <w:szCs w:val="18"/>
              </w:rPr>
              <w:t>/d</w:t>
            </w:r>
            <w:r>
              <w:rPr>
                <w:rFonts w:hint="eastAsia" w:ascii="Times New Roman" w:hAnsi="Times New Roman" w:eastAsia="宋体" w:cs="Times New Roman"/>
                <w:kern w:val="0"/>
                <w:sz w:val="18"/>
                <w:szCs w:val="18"/>
              </w:rPr>
              <w:t>)</w:t>
            </w:r>
          </w:p>
        </w:tc>
        <w:tc>
          <w:tcPr>
            <w:tcW w:w="1483"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排放浓度（mg/L）</w:t>
            </w:r>
          </w:p>
        </w:tc>
        <w:tc>
          <w:tcPr>
            <w:tcW w:w="1210"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排放量（kg/d）</w:t>
            </w: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执行标准</w:t>
            </w:r>
          </w:p>
        </w:tc>
        <w:tc>
          <w:tcPr>
            <w:tcW w:w="1115"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标准限值（mg/L）</w:t>
            </w:r>
          </w:p>
        </w:tc>
        <w:tc>
          <w:tcPr>
            <w:tcW w:w="409"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是否达标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废水处理站</w:t>
            </w:r>
          </w:p>
        </w:tc>
        <w:tc>
          <w:tcPr>
            <w:tcW w:w="838"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预处理含油废水</w:t>
            </w: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COD</w:t>
            </w:r>
          </w:p>
        </w:tc>
        <w:tc>
          <w:tcPr>
            <w:tcW w:w="591"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物料衡算法</w:t>
            </w:r>
          </w:p>
        </w:tc>
        <w:tc>
          <w:tcPr>
            <w:tcW w:w="850"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20.832</w:t>
            </w:r>
          </w:p>
        </w:tc>
        <w:tc>
          <w:tcPr>
            <w:tcW w:w="992" w:type="dxa"/>
            <w:shd w:val="clear" w:color="auto" w:fill="auto"/>
            <w:vAlign w:val="bottom"/>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23855.13 </w:t>
            </w:r>
          </w:p>
        </w:tc>
        <w:tc>
          <w:tcPr>
            <w:tcW w:w="993" w:type="dxa"/>
            <w:shd w:val="clear" w:color="auto" w:fill="auto"/>
            <w:vAlign w:val="bottom"/>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496.95 </w:t>
            </w:r>
          </w:p>
        </w:tc>
        <w:tc>
          <w:tcPr>
            <w:tcW w:w="708"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隔油+气浮</w:t>
            </w:r>
            <w:r>
              <w:rPr>
                <w:rFonts w:hint="eastAsia" w:ascii="Times New Roman" w:hAnsi="Times New Roman" w:eastAsia="宋体" w:cs="Times New Roman"/>
                <w:kern w:val="0"/>
                <w:sz w:val="18"/>
                <w:szCs w:val="18"/>
              </w:rPr>
              <w:t>+UASB</w:t>
            </w:r>
            <w:r>
              <w:rPr>
                <w:rFonts w:ascii="Times New Roman" w:hAnsi="Times New Roman" w:eastAsia="宋体" w:cs="Times New Roman"/>
                <w:kern w:val="0"/>
                <w:sz w:val="18"/>
                <w:szCs w:val="18"/>
              </w:rPr>
              <w:t>+A/O</w:t>
            </w:r>
          </w:p>
        </w:tc>
        <w:tc>
          <w:tcPr>
            <w:tcW w:w="851"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类比法、物料衡算法、经验系数法</w:t>
            </w:r>
          </w:p>
        </w:tc>
        <w:tc>
          <w:tcPr>
            <w:tcW w:w="992"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135.232</w:t>
            </w:r>
          </w:p>
        </w:tc>
        <w:tc>
          <w:tcPr>
            <w:tcW w:w="1483"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COD 122.665</w:t>
            </w:r>
          </w:p>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BOD</w:t>
            </w:r>
            <w:r>
              <w:rPr>
                <w:rFonts w:ascii="Times New Roman" w:hAnsi="Times New Roman" w:eastAsia="宋体" w:cs="Times New Roman"/>
                <w:kern w:val="0"/>
                <w:sz w:val="18"/>
                <w:szCs w:val="18"/>
                <w:vertAlign w:val="subscript"/>
              </w:rPr>
              <w:t>5</w:t>
            </w:r>
            <w:r>
              <w:rPr>
                <w:rFonts w:ascii="Times New Roman" w:hAnsi="Times New Roman" w:eastAsia="宋体" w:cs="Times New Roman"/>
                <w:kern w:val="0"/>
                <w:sz w:val="18"/>
                <w:szCs w:val="18"/>
              </w:rPr>
              <w:t>28.163</w:t>
            </w:r>
          </w:p>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石油6.370</w:t>
            </w:r>
          </w:p>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w:t>
            </w:r>
            <w:r>
              <w:rPr>
                <w:rFonts w:ascii="Times New Roman" w:hAnsi="Times New Roman" w:eastAsia="宋体" w:cs="Times New Roman"/>
                <w:kern w:val="0"/>
                <w:sz w:val="18"/>
                <w:szCs w:val="18"/>
                <w:vertAlign w:val="subscript"/>
              </w:rPr>
              <w:t>2</w:t>
            </w:r>
            <w:r>
              <w:rPr>
                <w:rFonts w:ascii="Times New Roman" w:hAnsi="Times New Roman" w:eastAsia="宋体" w:cs="Times New Roman"/>
                <w:kern w:val="0"/>
                <w:sz w:val="18"/>
                <w:szCs w:val="18"/>
              </w:rPr>
              <w:t>S 0.137</w:t>
            </w:r>
          </w:p>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氨氮17.760</w:t>
            </w:r>
          </w:p>
        </w:tc>
        <w:tc>
          <w:tcPr>
            <w:tcW w:w="1210"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COD16.588</w:t>
            </w:r>
          </w:p>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BOD</w:t>
            </w:r>
            <w:r>
              <w:rPr>
                <w:rFonts w:ascii="Times New Roman" w:hAnsi="Times New Roman" w:eastAsia="宋体" w:cs="Times New Roman"/>
                <w:kern w:val="0"/>
                <w:sz w:val="18"/>
                <w:szCs w:val="18"/>
                <w:vertAlign w:val="subscript"/>
              </w:rPr>
              <w:t>5</w:t>
            </w:r>
            <w:r>
              <w:rPr>
                <w:rFonts w:ascii="Times New Roman" w:hAnsi="Times New Roman" w:eastAsia="宋体" w:cs="Times New Roman"/>
                <w:kern w:val="0"/>
                <w:sz w:val="18"/>
                <w:szCs w:val="18"/>
              </w:rPr>
              <w:t>3.809</w:t>
            </w:r>
          </w:p>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石油0.861</w:t>
            </w:r>
          </w:p>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w:t>
            </w:r>
            <w:r>
              <w:rPr>
                <w:rFonts w:ascii="Times New Roman" w:hAnsi="Times New Roman" w:eastAsia="宋体" w:cs="Times New Roman"/>
                <w:kern w:val="0"/>
                <w:sz w:val="18"/>
                <w:szCs w:val="18"/>
                <w:vertAlign w:val="subscript"/>
              </w:rPr>
              <w:t>2</w:t>
            </w:r>
            <w:r>
              <w:rPr>
                <w:rFonts w:ascii="Times New Roman" w:hAnsi="Times New Roman" w:eastAsia="宋体" w:cs="Times New Roman"/>
                <w:kern w:val="0"/>
                <w:sz w:val="18"/>
                <w:szCs w:val="18"/>
              </w:rPr>
              <w:t>S 0.019</w:t>
            </w:r>
          </w:p>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氨氮2.402</w:t>
            </w:r>
          </w:p>
        </w:tc>
        <w:tc>
          <w:tcPr>
            <w:tcW w:w="519"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330</w:t>
            </w:r>
          </w:p>
        </w:tc>
        <w:tc>
          <w:tcPr>
            <w:tcW w:w="1139"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《污水综合排放标准》（GB8978-1996）二级标准及濮阳市第二污水处理厂进水水质标准</w:t>
            </w:r>
          </w:p>
        </w:tc>
        <w:tc>
          <w:tcPr>
            <w:tcW w:w="1115"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COD</w:t>
            </w:r>
          </w:p>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350mg/L、BOD</w:t>
            </w:r>
            <w:r>
              <w:rPr>
                <w:rFonts w:ascii="Times New Roman" w:hAnsi="Times New Roman" w:eastAsia="宋体" w:cs="Times New Roman"/>
                <w:kern w:val="0"/>
                <w:sz w:val="18"/>
                <w:szCs w:val="18"/>
                <w:vertAlign w:val="subscript"/>
              </w:rPr>
              <w:t>5</w:t>
            </w:r>
          </w:p>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30mg/L、石油类10mg/L、硫化物1mg/L、</w:t>
            </w:r>
          </w:p>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氨氮40mg/L</w:t>
            </w:r>
          </w:p>
        </w:tc>
        <w:tc>
          <w:tcPr>
            <w:tcW w:w="409"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BOD</w:t>
            </w:r>
            <w:r>
              <w:rPr>
                <w:rFonts w:ascii="Times New Roman" w:hAnsi="Times New Roman" w:eastAsia="宋体" w:cs="Times New Roman"/>
                <w:kern w:val="0"/>
                <w:sz w:val="18"/>
                <w:szCs w:val="18"/>
                <w:vertAlign w:val="subscript"/>
              </w:rPr>
              <w:t>5</w:t>
            </w:r>
          </w:p>
        </w:tc>
        <w:tc>
          <w:tcPr>
            <w:tcW w:w="59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shd w:val="clear" w:color="auto" w:fill="auto"/>
            <w:vAlign w:val="bottom"/>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10932.70 </w:t>
            </w:r>
          </w:p>
        </w:tc>
        <w:tc>
          <w:tcPr>
            <w:tcW w:w="993" w:type="dxa"/>
            <w:shd w:val="clear" w:color="auto" w:fill="auto"/>
            <w:vAlign w:val="bottom"/>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227.75 </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21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石油类</w:t>
            </w:r>
          </w:p>
        </w:tc>
        <w:tc>
          <w:tcPr>
            <w:tcW w:w="59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shd w:val="clear" w:color="auto" w:fill="auto"/>
            <w:vAlign w:val="bottom"/>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4883.83 </w:t>
            </w:r>
          </w:p>
        </w:tc>
        <w:tc>
          <w:tcPr>
            <w:tcW w:w="993" w:type="dxa"/>
            <w:shd w:val="clear" w:color="auto" w:fill="auto"/>
            <w:vAlign w:val="bottom"/>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101.74 </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21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硫化物</w:t>
            </w:r>
          </w:p>
        </w:tc>
        <w:tc>
          <w:tcPr>
            <w:tcW w:w="59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shd w:val="clear" w:color="auto" w:fill="auto"/>
            <w:vAlign w:val="bottom"/>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11.14 </w:t>
            </w:r>
          </w:p>
        </w:tc>
        <w:tc>
          <w:tcPr>
            <w:tcW w:w="993" w:type="dxa"/>
            <w:shd w:val="clear" w:color="auto" w:fill="auto"/>
            <w:vAlign w:val="bottom"/>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0.23 </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21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氨氮</w:t>
            </w:r>
          </w:p>
        </w:tc>
        <w:tc>
          <w:tcPr>
            <w:tcW w:w="59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shd w:val="clear" w:color="auto" w:fill="auto"/>
            <w:vAlign w:val="bottom"/>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48.00 </w:t>
            </w:r>
          </w:p>
        </w:tc>
        <w:tc>
          <w:tcPr>
            <w:tcW w:w="993" w:type="dxa"/>
            <w:shd w:val="clear" w:color="auto" w:fill="auto"/>
            <w:vAlign w:val="bottom"/>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1.00 </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21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罐区废水</w:t>
            </w: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COD</w:t>
            </w:r>
          </w:p>
        </w:tc>
        <w:tc>
          <w:tcPr>
            <w:tcW w:w="591"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物料衡算法</w:t>
            </w:r>
          </w:p>
        </w:tc>
        <w:tc>
          <w:tcPr>
            <w:tcW w:w="850"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992"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w:t>
            </w:r>
          </w:p>
        </w:tc>
        <w:tc>
          <w:tcPr>
            <w:tcW w:w="993"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21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BOD</w:t>
            </w:r>
            <w:r>
              <w:rPr>
                <w:rFonts w:ascii="Times New Roman" w:hAnsi="Times New Roman" w:eastAsia="宋体" w:cs="Times New Roman"/>
                <w:kern w:val="0"/>
                <w:sz w:val="18"/>
                <w:szCs w:val="18"/>
                <w:vertAlign w:val="subscript"/>
              </w:rPr>
              <w:t>5</w:t>
            </w:r>
          </w:p>
        </w:tc>
        <w:tc>
          <w:tcPr>
            <w:tcW w:w="59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1500</w:t>
            </w:r>
          </w:p>
        </w:tc>
        <w:tc>
          <w:tcPr>
            <w:tcW w:w="993"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7.5</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21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石油类</w:t>
            </w:r>
          </w:p>
        </w:tc>
        <w:tc>
          <w:tcPr>
            <w:tcW w:w="59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w:t>
            </w:r>
          </w:p>
        </w:tc>
        <w:tc>
          <w:tcPr>
            <w:tcW w:w="993"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21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化验室废水</w:t>
            </w: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COD</w:t>
            </w:r>
          </w:p>
        </w:tc>
        <w:tc>
          <w:tcPr>
            <w:tcW w:w="591"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类比法</w:t>
            </w:r>
          </w:p>
        </w:tc>
        <w:tc>
          <w:tcPr>
            <w:tcW w:w="850"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w:t>
            </w:r>
          </w:p>
        </w:tc>
        <w:tc>
          <w:tcPr>
            <w:tcW w:w="992"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380</w:t>
            </w:r>
          </w:p>
        </w:tc>
        <w:tc>
          <w:tcPr>
            <w:tcW w:w="993"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0.684</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21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BOD</w:t>
            </w:r>
            <w:r>
              <w:rPr>
                <w:rFonts w:ascii="Times New Roman" w:hAnsi="Times New Roman" w:eastAsia="宋体" w:cs="Times New Roman"/>
                <w:kern w:val="0"/>
                <w:sz w:val="18"/>
                <w:szCs w:val="18"/>
                <w:vertAlign w:val="subscript"/>
              </w:rPr>
              <w:t>5</w:t>
            </w:r>
          </w:p>
        </w:tc>
        <w:tc>
          <w:tcPr>
            <w:tcW w:w="59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120</w:t>
            </w:r>
          </w:p>
        </w:tc>
        <w:tc>
          <w:tcPr>
            <w:tcW w:w="993"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0.216</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21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石油类</w:t>
            </w:r>
          </w:p>
        </w:tc>
        <w:tc>
          <w:tcPr>
            <w:tcW w:w="59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w:t>
            </w:r>
          </w:p>
        </w:tc>
        <w:tc>
          <w:tcPr>
            <w:tcW w:w="993"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0.09</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21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生活污水</w:t>
            </w: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COD</w:t>
            </w:r>
          </w:p>
        </w:tc>
        <w:tc>
          <w:tcPr>
            <w:tcW w:w="591"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经验系数法</w:t>
            </w:r>
          </w:p>
        </w:tc>
        <w:tc>
          <w:tcPr>
            <w:tcW w:w="850"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6.4</w:t>
            </w:r>
          </w:p>
        </w:tc>
        <w:tc>
          <w:tcPr>
            <w:tcW w:w="992"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w:t>
            </w:r>
          </w:p>
        </w:tc>
        <w:tc>
          <w:tcPr>
            <w:tcW w:w="993"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1.92</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21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BOD</w:t>
            </w:r>
            <w:r>
              <w:rPr>
                <w:rFonts w:ascii="Times New Roman" w:hAnsi="Times New Roman" w:eastAsia="宋体" w:cs="Times New Roman"/>
                <w:kern w:val="0"/>
                <w:sz w:val="18"/>
                <w:szCs w:val="18"/>
                <w:vertAlign w:val="subscript"/>
              </w:rPr>
              <w:t>5</w:t>
            </w:r>
          </w:p>
        </w:tc>
        <w:tc>
          <w:tcPr>
            <w:tcW w:w="59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w:t>
            </w:r>
          </w:p>
        </w:tc>
        <w:tc>
          <w:tcPr>
            <w:tcW w:w="993"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0.96</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21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氨氮</w:t>
            </w:r>
          </w:p>
        </w:tc>
        <w:tc>
          <w:tcPr>
            <w:tcW w:w="59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w:t>
            </w:r>
          </w:p>
        </w:tc>
        <w:tc>
          <w:tcPr>
            <w:tcW w:w="993"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0.256</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21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地面冲洗水</w:t>
            </w: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COD</w:t>
            </w:r>
          </w:p>
        </w:tc>
        <w:tc>
          <w:tcPr>
            <w:tcW w:w="591"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类比法</w:t>
            </w:r>
          </w:p>
        </w:tc>
        <w:tc>
          <w:tcPr>
            <w:tcW w:w="850"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w:t>
            </w:r>
          </w:p>
        </w:tc>
        <w:tc>
          <w:tcPr>
            <w:tcW w:w="992"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w:t>
            </w:r>
          </w:p>
        </w:tc>
        <w:tc>
          <w:tcPr>
            <w:tcW w:w="993"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21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BOD</w:t>
            </w:r>
            <w:r>
              <w:rPr>
                <w:rFonts w:ascii="Times New Roman" w:hAnsi="Times New Roman" w:eastAsia="宋体" w:cs="Times New Roman"/>
                <w:kern w:val="0"/>
                <w:sz w:val="18"/>
                <w:szCs w:val="18"/>
                <w:vertAlign w:val="subscript"/>
              </w:rPr>
              <w:t>5</w:t>
            </w:r>
          </w:p>
        </w:tc>
        <w:tc>
          <w:tcPr>
            <w:tcW w:w="59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w:t>
            </w:r>
          </w:p>
        </w:tc>
        <w:tc>
          <w:tcPr>
            <w:tcW w:w="993"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5.4</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21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石油类</w:t>
            </w:r>
          </w:p>
        </w:tc>
        <w:tc>
          <w:tcPr>
            <w:tcW w:w="59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w:t>
            </w:r>
          </w:p>
        </w:tc>
        <w:tc>
          <w:tcPr>
            <w:tcW w:w="993"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0.9</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21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氨氮</w:t>
            </w:r>
          </w:p>
        </w:tc>
        <w:tc>
          <w:tcPr>
            <w:tcW w:w="59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w:t>
            </w:r>
          </w:p>
        </w:tc>
        <w:tc>
          <w:tcPr>
            <w:tcW w:w="993"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0.9</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21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未预见废水</w:t>
            </w: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COD</w:t>
            </w:r>
          </w:p>
        </w:tc>
        <w:tc>
          <w:tcPr>
            <w:tcW w:w="591"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经验系数法</w:t>
            </w:r>
          </w:p>
        </w:tc>
        <w:tc>
          <w:tcPr>
            <w:tcW w:w="850"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83.2</w:t>
            </w:r>
          </w:p>
        </w:tc>
        <w:tc>
          <w:tcPr>
            <w:tcW w:w="992"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w:t>
            </w:r>
          </w:p>
        </w:tc>
        <w:tc>
          <w:tcPr>
            <w:tcW w:w="993"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416</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21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BOD</w:t>
            </w:r>
            <w:r>
              <w:rPr>
                <w:rFonts w:ascii="Times New Roman" w:hAnsi="Times New Roman" w:eastAsia="宋体" w:cs="Times New Roman"/>
                <w:kern w:val="0"/>
                <w:sz w:val="18"/>
                <w:szCs w:val="18"/>
                <w:vertAlign w:val="subscript"/>
              </w:rPr>
              <w:t>5</w:t>
            </w:r>
          </w:p>
        </w:tc>
        <w:tc>
          <w:tcPr>
            <w:tcW w:w="59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1500</w:t>
            </w:r>
          </w:p>
        </w:tc>
        <w:tc>
          <w:tcPr>
            <w:tcW w:w="993"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124.8</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21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石油类</w:t>
            </w:r>
          </w:p>
        </w:tc>
        <w:tc>
          <w:tcPr>
            <w:tcW w:w="59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w:t>
            </w:r>
          </w:p>
        </w:tc>
        <w:tc>
          <w:tcPr>
            <w:tcW w:w="993"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4.16</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21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vMerge w:val="continue"/>
            <w:shd w:val="clear" w:color="auto" w:fill="auto"/>
            <w:vAlign w:val="center"/>
          </w:tcPr>
          <w:p>
            <w:pPr>
              <w:widowControl/>
              <w:spacing w:line="240" w:lineRule="exact"/>
              <w:jc w:val="left"/>
              <w:rPr>
                <w:rFonts w:ascii="Times New Roman" w:hAnsi="Times New Roman" w:eastAsia="宋体" w:cs="Times New Roman"/>
                <w:kern w:val="0"/>
                <w:sz w:val="18"/>
                <w:szCs w:val="18"/>
              </w:rPr>
            </w:pP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循环水池</w:t>
            </w:r>
          </w:p>
        </w:tc>
        <w:tc>
          <w:tcPr>
            <w:tcW w:w="838"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循环水池外排水</w:t>
            </w: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COD</w:t>
            </w:r>
          </w:p>
        </w:tc>
        <w:tc>
          <w:tcPr>
            <w:tcW w:w="591"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类比法</w:t>
            </w:r>
          </w:p>
        </w:tc>
        <w:tc>
          <w:tcPr>
            <w:tcW w:w="850"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168</w:t>
            </w:r>
          </w:p>
        </w:tc>
        <w:tc>
          <w:tcPr>
            <w:tcW w:w="992"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w:t>
            </w:r>
          </w:p>
        </w:tc>
        <w:tc>
          <w:tcPr>
            <w:tcW w:w="993"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6.72</w:t>
            </w:r>
          </w:p>
        </w:tc>
        <w:tc>
          <w:tcPr>
            <w:tcW w:w="708"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汇入总排口</w:t>
            </w:r>
          </w:p>
        </w:tc>
        <w:tc>
          <w:tcPr>
            <w:tcW w:w="851"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类比法</w:t>
            </w:r>
          </w:p>
        </w:tc>
        <w:tc>
          <w:tcPr>
            <w:tcW w:w="992"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168</w:t>
            </w:r>
          </w:p>
        </w:tc>
        <w:tc>
          <w:tcPr>
            <w:tcW w:w="1483"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w:t>
            </w:r>
          </w:p>
        </w:tc>
        <w:tc>
          <w:tcPr>
            <w:tcW w:w="1210"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6.72</w:t>
            </w:r>
          </w:p>
        </w:tc>
        <w:tc>
          <w:tcPr>
            <w:tcW w:w="519"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330</w:t>
            </w:r>
          </w:p>
        </w:tc>
        <w:tc>
          <w:tcPr>
            <w:tcW w:w="2663" w:type="dxa"/>
            <w:gridSpan w:val="3"/>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w:t>
            </w:r>
          </w:p>
        </w:tc>
        <w:tc>
          <w:tcPr>
            <w:tcW w:w="59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w:t>
            </w:r>
          </w:p>
        </w:tc>
        <w:tc>
          <w:tcPr>
            <w:tcW w:w="993"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8.4</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w:t>
            </w:r>
          </w:p>
        </w:tc>
        <w:tc>
          <w:tcPr>
            <w:tcW w:w="1210"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8.4</w:t>
            </w: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2663" w:type="dxa"/>
            <w:gridSpan w:val="3"/>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厂区总排口</w:t>
            </w:r>
          </w:p>
        </w:tc>
        <w:tc>
          <w:tcPr>
            <w:tcW w:w="838"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循环水池外排水+废水处理站排水</w:t>
            </w: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COD</w:t>
            </w:r>
          </w:p>
        </w:tc>
        <w:tc>
          <w:tcPr>
            <w:tcW w:w="591"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总排口物料衡算法</w:t>
            </w:r>
          </w:p>
        </w:tc>
        <w:tc>
          <w:tcPr>
            <w:tcW w:w="850"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303.232</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3183.29 </w:t>
            </w:r>
          </w:p>
        </w:tc>
        <w:tc>
          <w:tcPr>
            <w:tcW w:w="993"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965.27</w:t>
            </w:r>
          </w:p>
        </w:tc>
        <w:tc>
          <w:tcPr>
            <w:tcW w:w="708"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851"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总排口物料衡算法</w:t>
            </w:r>
          </w:p>
        </w:tc>
        <w:tc>
          <w:tcPr>
            <w:tcW w:w="992"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303.232</w:t>
            </w:r>
          </w:p>
        </w:tc>
        <w:tc>
          <w:tcPr>
            <w:tcW w:w="1483"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76.866</w:t>
            </w:r>
          </w:p>
        </w:tc>
        <w:tc>
          <w:tcPr>
            <w:tcW w:w="1210"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23.308</w:t>
            </w:r>
          </w:p>
        </w:tc>
        <w:tc>
          <w:tcPr>
            <w:tcW w:w="519"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330</w:t>
            </w:r>
          </w:p>
        </w:tc>
        <w:tc>
          <w:tcPr>
            <w:tcW w:w="1139"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《污水综合排放标准》（GB8978-1996）二级标准及濮阳市第二污水处理厂进水水质标准</w:t>
            </w:r>
          </w:p>
        </w:tc>
        <w:tc>
          <w:tcPr>
            <w:tcW w:w="1115"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350</w:t>
            </w:r>
          </w:p>
        </w:tc>
        <w:tc>
          <w:tcPr>
            <w:tcW w:w="409" w:type="dxa"/>
            <w:vMerge w:val="restart"/>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BOD</w:t>
            </w:r>
            <w:r>
              <w:rPr>
                <w:rFonts w:ascii="Times New Roman" w:hAnsi="Times New Roman" w:eastAsia="宋体" w:cs="Times New Roman"/>
                <w:kern w:val="0"/>
                <w:sz w:val="18"/>
                <w:szCs w:val="18"/>
                <w:vertAlign w:val="subscript"/>
              </w:rPr>
              <w:t>5</w:t>
            </w:r>
          </w:p>
        </w:tc>
        <w:tc>
          <w:tcPr>
            <w:tcW w:w="591"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85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1209.06 </w:t>
            </w:r>
          </w:p>
        </w:tc>
        <w:tc>
          <w:tcPr>
            <w:tcW w:w="993"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366.63 </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12.560 </w:t>
            </w:r>
          </w:p>
        </w:tc>
        <w:tc>
          <w:tcPr>
            <w:tcW w:w="1210"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3.809</w:t>
            </w: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w:t>
            </w: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石油类</w:t>
            </w:r>
          </w:p>
        </w:tc>
        <w:tc>
          <w:tcPr>
            <w:tcW w:w="591"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85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360.75 </w:t>
            </w:r>
          </w:p>
        </w:tc>
        <w:tc>
          <w:tcPr>
            <w:tcW w:w="993"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109.39 </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2.841</w:t>
            </w:r>
          </w:p>
        </w:tc>
        <w:tc>
          <w:tcPr>
            <w:tcW w:w="1210"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0.861</w:t>
            </w: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硫化物</w:t>
            </w:r>
          </w:p>
        </w:tc>
        <w:tc>
          <w:tcPr>
            <w:tcW w:w="591"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85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0.77 </w:t>
            </w:r>
          </w:p>
        </w:tc>
        <w:tc>
          <w:tcPr>
            <w:tcW w:w="993"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0.23 </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0.061</w:t>
            </w:r>
          </w:p>
        </w:tc>
        <w:tc>
          <w:tcPr>
            <w:tcW w:w="1210"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0.019</w:t>
            </w: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氨氮</w:t>
            </w:r>
          </w:p>
        </w:tc>
        <w:tc>
          <w:tcPr>
            <w:tcW w:w="591"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85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7.11 </w:t>
            </w:r>
          </w:p>
        </w:tc>
        <w:tc>
          <w:tcPr>
            <w:tcW w:w="993"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2.16 </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shd w:val="clear" w:color="auto" w:fill="auto"/>
            <w:vAlign w:val="center"/>
          </w:tcPr>
          <w:p>
            <w:pPr>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7.920</w:t>
            </w:r>
          </w:p>
        </w:tc>
        <w:tc>
          <w:tcPr>
            <w:tcW w:w="1210"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2.402</w:t>
            </w: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w:t>
            </w: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1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3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44"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w:t>
            </w:r>
          </w:p>
        </w:tc>
        <w:tc>
          <w:tcPr>
            <w:tcW w:w="591" w:type="dxa"/>
            <w:vMerge w:val="continue"/>
            <w:shd w:val="clear" w:color="auto" w:fill="auto"/>
            <w:vAlign w:val="center"/>
          </w:tcPr>
          <w:p>
            <w:pPr>
              <w:widowControl/>
              <w:spacing w:line="240" w:lineRule="exact"/>
              <w:jc w:val="left"/>
              <w:rPr>
                <w:rFonts w:ascii="Times New Roman" w:hAnsi="Times New Roman" w:eastAsia="宋体" w:cs="Times New Roman"/>
                <w:kern w:val="0"/>
                <w:sz w:val="18"/>
                <w:szCs w:val="18"/>
              </w:rPr>
            </w:pPr>
          </w:p>
        </w:tc>
        <w:tc>
          <w:tcPr>
            <w:tcW w:w="850"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992"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27.70 </w:t>
            </w:r>
          </w:p>
        </w:tc>
        <w:tc>
          <w:tcPr>
            <w:tcW w:w="993"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8.40 </w:t>
            </w:r>
          </w:p>
        </w:tc>
        <w:tc>
          <w:tcPr>
            <w:tcW w:w="708"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851" w:type="dxa"/>
            <w:vMerge w:val="continue"/>
            <w:shd w:val="clear" w:color="auto" w:fill="auto"/>
            <w:vAlign w:val="center"/>
          </w:tcPr>
          <w:p>
            <w:pPr>
              <w:widowControl/>
              <w:spacing w:line="240" w:lineRule="exact"/>
              <w:jc w:val="left"/>
              <w:rPr>
                <w:rFonts w:ascii="Times New Roman" w:hAnsi="Times New Roman" w:eastAsia="宋体" w:cs="Times New Roman"/>
                <w:kern w:val="0"/>
                <w:sz w:val="18"/>
                <w:szCs w:val="18"/>
              </w:rPr>
            </w:pPr>
          </w:p>
        </w:tc>
        <w:tc>
          <w:tcPr>
            <w:tcW w:w="992"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483"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27.702</w:t>
            </w:r>
          </w:p>
        </w:tc>
        <w:tc>
          <w:tcPr>
            <w:tcW w:w="1210" w:type="dxa"/>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8.400</w:t>
            </w:r>
          </w:p>
        </w:tc>
        <w:tc>
          <w:tcPr>
            <w:tcW w:w="51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39" w:type="dxa"/>
            <w:vMerge w:val="continue"/>
            <w:vAlign w:val="center"/>
          </w:tcPr>
          <w:p>
            <w:pPr>
              <w:widowControl/>
              <w:spacing w:line="240" w:lineRule="exact"/>
              <w:jc w:val="left"/>
              <w:rPr>
                <w:rFonts w:ascii="Times New Roman" w:hAnsi="Times New Roman" w:eastAsia="宋体" w:cs="Times New Roman"/>
                <w:kern w:val="0"/>
                <w:sz w:val="18"/>
                <w:szCs w:val="18"/>
              </w:rPr>
            </w:pPr>
          </w:p>
        </w:tc>
        <w:tc>
          <w:tcPr>
            <w:tcW w:w="1115" w:type="dxa"/>
            <w:shd w:val="clear" w:color="auto" w:fill="auto"/>
            <w:vAlign w:val="center"/>
          </w:tcPr>
          <w:p>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w:t>
            </w:r>
          </w:p>
        </w:tc>
        <w:tc>
          <w:tcPr>
            <w:tcW w:w="409" w:type="dxa"/>
            <w:vMerge w:val="continue"/>
            <w:vAlign w:val="center"/>
          </w:tcPr>
          <w:p>
            <w:pPr>
              <w:widowControl/>
              <w:spacing w:line="240" w:lineRule="exact"/>
              <w:jc w:val="left"/>
              <w:rPr>
                <w:rFonts w:ascii="Times New Roman" w:hAnsi="Times New Roman" w:eastAsia="宋体" w:cs="Times New Roman"/>
                <w:kern w:val="0"/>
                <w:sz w:val="18"/>
                <w:szCs w:val="18"/>
              </w:rPr>
            </w:pPr>
          </w:p>
        </w:tc>
      </w:tr>
    </w:tbl>
    <w:p>
      <w:pPr>
        <w:spacing w:line="480" w:lineRule="exact"/>
        <w:ind w:firstLine="482" w:firstLineChars="200"/>
        <w:rPr>
          <w:rFonts w:ascii="Times New Roman" w:hAnsi="Times New Roman" w:eastAsia="宋体"/>
          <w:b/>
          <w:kern w:val="0"/>
          <w:sz w:val="24"/>
          <w:szCs w:val="24"/>
        </w:rPr>
      </w:pPr>
    </w:p>
    <w:p>
      <w:pPr>
        <w:spacing w:line="480" w:lineRule="exact"/>
        <w:ind w:firstLine="482" w:firstLineChars="200"/>
        <w:rPr>
          <w:rFonts w:ascii="Times New Roman" w:hAnsi="Times New Roman" w:eastAsia="宋体"/>
          <w:b/>
          <w:kern w:val="0"/>
          <w:sz w:val="24"/>
          <w:szCs w:val="24"/>
        </w:rPr>
      </w:pPr>
    </w:p>
    <w:p>
      <w:pPr>
        <w:spacing w:line="480" w:lineRule="exact"/>
        <w:ind w:firstLine="482" w:firstLineChars="200"/>
        <w:rPr>
          <w:rFonts w:ascii="Times New Roman" w:hAnsi="Times New Roman" w:eastAsia="宋体"/>
          <w:b/>
          <w:kern w:val="0"/>
          <w:sz w:val="24"/>
          <w:szCs w:val="24"/>
        </w:rPr>
      </w:pPr>
    </w:p>
    <w:p>
      <w:pPr>
        <w:spacing w:line="480" w:lineRule="exact"/>
        <w:ind w:firstLine="482" w:firstLineChars="200"/>
        <w:rPr>
          <w:rFonts w:ascii="Times New Roman" w:hAnsi="Times New Roman" w:eastAsia="宋体"/>
          <w:b/>
          <w:kern w:val="0"/>
          <w:sz w:val="24"/>
          <w:szCs w:val="24"/>
        </w:rPr>
      </w:pPr>
    </w:p>
    <w:p>
      <w:pPr>
        <w:spacing w:line="480" w:lineRule="exact"/>
        <w:ind w:firstLine="482" w:firstLineChars="200"/>
        <w:rPr>
          <w:rFonts w:ascii="Times New Roman" w:hAnsi="Times New Roman" w:eastAsia="宋体"/>
          <w:b/>
          <w:kern w:val="0"/>
          <w:sz w:val="24"/>
          <w:szCs w:val="24"/>
        </w:rPr>
      </w:pPr>
    </w:p>
    <w:p>
      <w:pPr>
        <w:spacing w:line="480" w:lineRule="exact"/>
        <w:ind w:firstLine="482" w:firstLineChars="200"/>
        <w:rPr>
          <w:rFonts w:ascii="Times New Roman" w:hAnsi="Times New Roman" w:eastAsia="宋体"/>
          <w:b/>
          <w:kern w:val="0"/>
          <w:sz w:val="24"/>
          <w:szCs w:val="24"/>
        </w:rPr>
        <w:sectPr>
          <w:pgSz w:w="16838" w:h="11906" w:orient="landscape"/>
          <w:pgMar w:top="1800" w:right="1440" w:bottom="1800" w:left="1440" w:header="851" w:footer="992" w:gutter="0"/>
          <w:cols w:space="425" w:num="1"/>
          <w:docGrid w:type="lines" w:linePitch="312" w:charSpace="0"/>
        </w:sectPr>
      </w:pPr>
    </w:p>
    <w:p>
      <w:pPr>
        <w:pStyle w:val="40"/>
        <w:rPr>
          <w:snapToGrid w:val="0"/>
          <w:color w:val="auto"/>
        </w:rPr>
      </w:pPr>
      <w:bookmarkStart w:id="48" w:name="_Toc8391547"/>
      <w:r>
        <w:rPr>
          <w:rFonts w:hint="eastAsia"/>
          <w:snapToGrid w:val="0"/>
          <w:color w:val="auto"/>
        </w:rPr>
        <w:t>3.</w:t>
      </w:r>
      <w:r>
        <w:rPr>
          <w:snapToGrid w:val="0"/>
          <w:color w:val="auto"/>
        </w:rPr>
        <w:t>8</w:t>
      </w:r>
      <w:r>
        <w:rPr>
          <w:rFonts w:hint="eastAsia"/>
          <w:snapToGrid w:val="0"/>
          <w:color w:val="auto"/>
        </w:rPr>
        <w:t>.</w:t>
      </w:r>
      <w:r>
        <w:rPr>
          <w:snapToGrid w:val="0"/>
          <w:color w:val="auto"/>
        </w:rPr>
        <w:t>3</w:t>
      </w:r>
      <w:r>
        <w:rPr>
          <w:rFonts w:hint="eastAsia"/>
          <w:snapToGrid w:val="0"/>
          <w:color w:val="auto"/>
        </w:rPr>
        <w:t xml:space="preserve"> 噪声</w:t>
      </w:r>
      <w:bookmarkEnd w:id="48"/>
    </w:p>
    <w:p>
      <w:pPr>
        <w:spacing w:line="480" w:lineRule="exact"/>
        <w:ind w:firstLine="482" w:firstLineChars="200"/>
        <w:rPr>
          <w:rFonts w:ascii="Times New Roman" w:hAnsi="Times New Roman" w:eastAsia="宋体"/>
          <w:b/>
          <w:kern w:val="0"/>
          <w:sz w:val="24"/>
          <w:szCs w:val="24"/>
        </w:rPr>
      </w:pPr>
      <w:r>
        <w:rPr>
          <w:rFonts w:hint="eastAsia" w:ascii="Times New Roman" w:hAnsi="Times New Roman" w:eastAsia="宋体"/>
          <w:b/>
          <w:kern w:val="0"/>
          <w:sz w:val="24"/>
          <w:szCs w:val="24"/>
        </w:rPr>
        <w:t>本项目</w:t>
      </w:r>
      <w:r>
        <w:rPr>
          <w:rFonts w:ascii="Times New Roman" w:hAnsi="Times New Roman" w:eastAsia="宋体"/>
          <w:b/>
          <w:kern w:val="0"/>
          <w:sz w:val="24"/>
          <w:szCs w:val="24"/>
        </w:rPr>
        <w:t>生产过程中的噪声设备较少，主要噪声源有各类输送泵、</w:t>
      </w:r>
      <w:r>
        <w:rPr>
          <w:rFonts w:hint="eastAsia" w:ascii="Times New Roman" w:hAnsi="Times New Roman" w:eastAsia="宋体"/>
          <w:b/>
          <w:kern w:val="0"/>
          <w:sz w:val="24"/>
          <w:szCs w:val="24"/>
        </w:rPr>
        <w:t>风机</w:t>
      </w:r>
      <w:r>
        <w:rPr>
          <w:rFonts w:ascii="Times New Roman" w:hAnsi="Times New Roman" w:eastAsia="宋体"/>
          <w:b/>
          <w:kern w:val="0"/>
          <w:sz w:val="24"/>
          <w:szCs w:val="24"/>
        </w:rPr>
        <w:t>、冷却塔和真空泵系统等，</w:t>
      </w:r>
      <w:r>
        <w:rPr>
          <w:rFonts w:hint="eastAsia" w:ascii="Times New Roman" w:hAnsi="Times New Roman" w:eastAsia="宋体"/>
          <w:b/>
          <w:kern w:val="0"/>
          <w:sz w:val="24"/>
          <w:szCs w:val="24"/>
        </w:rPr>
        <w:t>项目变更后，生产车间内的泵机等产噪设备有所减少，噪声产生源强较原环评有所降低，</w:t>
      </w:r>
      <w:r>
        <w:rPr>
          <w:rFonts w:ascii="Times New Roman" w:hAnsi="Times New Roman" w:eastAsia="宋体"/>
          <w:b/>
          <w:kern w:val="0"/>
          <w:sz w:val="24"/>
          <w:szCs w:val="24"/>
        </w:rPr>
        <w:t>降噪</w:t>
      </w:r>
      <w:r>
        <w:rPr>
          <w:rFonts w:hint="eastAsia" w:ascii="Times New Roman" w:hAnsi="Times New Roman" w:eastAsia="宋体"/>
          <w:b/>
          <w:kern w:val="0"/>
          <w:sz w:val="24"/>
          <w:szCs w:val="24"/>
        </w:rPr>
        <w:t>措施不变，</w:t>
      </w:r>
      <w:r>
        <w:rPr>
          <w:rFonts w:ascii="Times New Roman" w:hAnsi="Times New Roman" w:eastAsia="宋体"/>
          <w:b/>
          <w:kern w:val="0"/>
          <w:sz w:val="24"/>
          <w:szCs w:val="24"/>
        </w:rPr>
        <w:t>噪声</w:t>
      </w:r>
      <w:r>
        <w:rPr>
          <w:rFonts w:hint="eastAsia" w:ascii="Times New Roman" w:hAnsi="Times New Roman" w:eastAsia="宋体"/>
          <w:b/>
          <w:kern w:val="0"/>
          <w:sz w:val="24"/>
          <w:szCs w:val="24"/>
        </w:rPr>
        <w:t>排放源强减小。变更前后，</w:t>
      </w:r>
      <w:r>
        <w:rPr>
          <w:rFonts w:ascii="Times New Roman" w:hAnsi="Times New Roman" w:eastAsia="宋体"/>
          <w:b/>
          <w:kern w:val="0"/>
          <w:sz w:val="24"/>
          <w:szCs w:val="24"/>
        </w:rPr>
        <w:t>项目</w:t>
      </w:r>
      <w:r>
        <w:rPr>
          <w:rFonts w:hint="eastAsia" w:ascii="Times New Roman" w:hAnsi="Times New Roman" w:eastAsia="宋体"/>
          <w:b/>
          <w:kern w:val="0"/>
          <w:sz w:val="24"/>
          <w:szCs w:val="24"/>
        </w:rPr>
        <w:t>噪声源强统计见表3.8</w:t>
      </w:r>
      <w:r>
        <w:rPr>
          <w:rFonts w:ascii="Times New Roman" w:hAnsi="Times New Roman" w:eastAsia="宋体"/>
          <w:b/>
          <w:kern w:val="0"/>
          <w:sz w:val="24"/>
          <w:szCs w:val="24"/>
        </w:rPr>
        <w:t>-10</w:t>
      </w:r>
      <w:r>
        <w:rPr>
          <w:rFonts w:hint="eastAsia" w:ascii="Times New Roman" w:hAnsi="Times New Roman" w:eastAsia="宋体"/>
          <w:b/>
          <w:kern w:val="0"/>
          <w:sz w:val="24"/>
          <w:szCs w:val="24"/>
        </w:rPr>
        <w:t>。</w:t>
      </w:r>
    </w:p>
    <w:p>
      <w:pPr>
        <w:spacing w:line="480" w:lineRule="exact"/>
        <w:ind w:firstLine="480" w:firstLineChars="200"/>
        <w:rPr>
          <w:rFonts w:ascii="Times New Roman" w:hAnsi="Times New Roman" w:eastAsia="黑体" w:cs="Times New Roman"/>
          <w:sz w:val="24"/>
        </w:rPr>
      </w:pPr>
      <w:r>
        <w:rPr>
          <w:rFonts w:hint="eastAsia" w:ascii="Times New Roman" w:hAnsi="Times New Roman" w:eastAsia="黑体" w:cs="Times New Roman"/>
          <w:sz w:val="24"/>
        </w:rPr>
        <w:t>表3.8</w:t>
      </w:r>
      <w:r>
        <w:rPr>
          <w:rFonts w:ascii="Times New Roman" w:hAnsi="Times New Roman" w:eastAsia="黑体" w:cs="Times New Roman"/>
          <w:sz w:val="24"/>
        </w:rPr>
        <w:t>-10      项目</w:t>
      </w:r>
      <w:r>
        <w:rPr>
          <w:rFonts w:hint="eastAsia" w:ascii="Times New Roman" w:hAnsi="Times New Roman" w:eastAsia="黑体" w:cs="Times New Roman"/>
          <w:sz w:val="24"/>
        </w:rPr>
        <w:t>变更前后噪声源强变化情况</w:t>
      </w:r>
      <w:r>
        <w:rPr>
          <w:rFonts w:ascii="Times New Roman" w:hAnsi="Times New Roman" w:eastAsia="黑体" w:cs="Times New Roman"/>
          <w:sz w:val="24"/>
        </w:rPr>
        <w:t>统计一览表</w:t>
      </w:r>
    </w:p>
    <w:tbl>
      <w:tblPr>
        <w:tblStyle w:val="1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311"/>
        <w:gridCol w:w="850"/>
        <w:gridCol w:w="1258"/>
        <w:gridCol w:w="788"/>
        <w:gridCol w:w="855"/>
        <w:gridCol w:w="855"/>
        <w:gridCol w:w="85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restart"/>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产噪车间</w:t>
            </w:r>
          </w:p>
        </w:tc>
        <w:tc>
          <w:tcPr>
            <w:tcW w:w="1311" w:type="dxa"/>
            <w:vMerge w:val="restart"/>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产噪设备</w:t>
            </w:r>
          </w:p>
        </w:tc>
        <w:tc>
          <w:tcPr>
            <w:tcW w:w="850" w:type="dxa"/>
            <w:vMerge w:val="restart"/>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排放</w:t>
            </w:r>
          </w:p>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特征</w:t>
            </w:r>
          </w:p>
        </w:tc>
        <w:tc>
          <w:tcPr>
            <w:tcW w:w="2046" w:type="dxa"/>
            <w:gridSpan w:val="2"/>
            <w:vAlign w:val="center"/>
          </w:tcPr>
          <w:p>
            <w:pPr>
              <w:pStyle w:val="54"/>
              <w:widowControl w:val="0"/>
              <w:rPr>
                <w:rFonts w:ascii="Times New Roman" w:hAnsi="Times New Roman" w:eastAsia="宋体" w:cs="Times New Roman"/>
                <w:color w:val="auto"/>
              </w:rPr>
            </w:pPr>
            <w:r>
              <w:rPr>
                <w:rFonts w:hint="eastAsia" w:ascii="Times New Roman" w:hAnsi="Times New Roman" w:eastAsia="宋体" w:cs="Times New Roman"/>
                <w:color w:val="auto"/>
              </w:rPr>
              <w:t>治理措施</w:t>
            </w:r>
          </w:p>
        </w:tc>
        <w:tc>
          <w:tcPr>
            <w:tcW w:w="1710" w:type="dxa"/>
            <w:gridSpan w:val="2"/>
            <w:vAlign w:val="center"/>
          </w:tcPr>
          <w:p>
            <w:pPr>
              <w:pStyle w:val="54"/>
              <w:widowControl w:val="0"/>
              <w:rPr>
                <w:rFonts w:ascii="Times New Roman" w:hAnsi="Times New Roman" w:eastAsia="宋体" w:cs="Times New Roman"/>
                <w:color w:val="auto"/>
              </w:rPr>
            </w:pPr>
            <w:r>
              <w:rPr>
                <w:rFonts w:hint="eastAsia" w:ascii="Times New Roman" w:hAnsi="Times New Roman" w:eastAsia="宋体" w:cs="Times New Roman"/>
                <w:color w:val="auto"/>
              </w:rPr>
              <w:t>变更前</w:t>
            </w:r>
          </w:p>
        </w:tc>
        <w:tc>
          <w:tcPr>
            <w:tcW w:w="1710" w:type="dxa"/>
            <w:gridSpan w:val="2"/>
            <w:vAlign w:val="center"/>
          </w:tcPr>
          <w:p>
            <w:pPr>
              <w:pStyle w:val="54"/>
              <w:widowControl w:val="0"/>
              <w:rPr>
                <w:rFonts w:ascii="Times New Roman" w:hAnsi="Times New Roman" w:eastAsia="宋体" w:cs="Times New Roman"/>
                <w:color w:val="auto"/>
              </w:rPr>
            </w:pPr>
            <w:r>
              <w:rPr>
                <w:rFonts w:hint="eastAsia" w:ascii="Times New Roman" w:hAnsi="Times New Roman" w:eastAsia="宋体" w:cs="Times New Roman"/>
                <w:color w:val="auto"/>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669" w:type="dxa"/>
            <w:vMerge w:val="continue"/>
            <w:vAlign w:val="center"/>
          </w:tcPr>
          <w:p>
            <w:pPr>
              <w:pStyle w:val="54"/>
              <w:widowControl w:val="0"/>
              <w:rPr>
                <w:rFonts w:ascii="Times New Roman" w:hAnsi="Times New Roman" w:eastAsia="宋体" w:cs="Times New Roman"/>
                <w:color w:val="auto"/>
              </w:rPr>
            </w:pPr>
          </w:p>
        </w:tc>
        <w:tc>
          <w:tcPr>
            <w:tcW w:w="1311" w:type="dxa"/>
            <w:vMerge w:val="continue"/>
            <w:vAlign w:val="center"/>
          </w:tcPr>
          <w:p>
            <w:pPr>
              <w:pStyle w:val="54"/>
              <w:widowControl w:val="0"/>
              <w:rPr>
                <w:rFonts w:ascii="Times New Roman" w:hAnsi="Times New Roman" w:eastAsia="宋体" w:cs="Times New Roman"/>
                <w:color w:val="auto"/>
              </w:rPr>
            </w:pPr>
          </w:p>
        </w:tc>
        <w:tc>
          <w:tcPr>
            <w:tcW w:w="850" w:type="dxa"/>
            <w:vMerge w:val="continue"/>
            <w:vAlign w:val="center"/>
          </w:tcPr>
          <w:p>
            <w:pPr>
              <w:pStyle w:val="54"/>
              <w:widowControl w:val="0"/>
              <w:rPr>
                <w:rFonts w:ascii="Times New Roman" w:hAnsi="Times New Roman" w:eastAsia="宋体" w:cs="Times New Roman"/>
                <w:color w:val="auto"/>
              </w:rPr>
            </w:pPr>
          </w:p>
        </w:tc>
        <w:tc>
          <w:tcPr>
            <w:tcW w:w="1258"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降噪</w:t>
            </w:r>
          </w:p>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措施</w:t>
            </w:r>
          </w:p>
        </w:tc>
        <w:tc>
          <w:tcPr>
            <w:tcW w:w="788"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降噪</w:t>
            </w:r>
          </w:p>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dB（A）</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产生源强值</w:t>
            </w:r>
          </w:p>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dB（A）</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排放源强值</w:t>
            </w:r>
          </w:p>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dB（A）</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产生源强值</w:t>
            </w:r>
          </w:p>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dB（A）</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排放源强值</w:t>
            </w:r>
          </w:p>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罐区</w:t>
            </w:r>
          </w:p>
        </w:tc>
        <w:tc>
          <w:tcPr>
            <w:tcW w:w="1311"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运输车辆</w:t>
            </w:r>
          </w:p>
        </w:tc>
        <w:tc>
          <w:tcPr>
            <w:tcW w:w="850"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间歇</w:t>
            </w:r>
          </w:p>
        </w:tc>
        <w:tc>
          <w:tcPr>
            <w:tcW w:w="1258"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低噪设备</w:t>
            </w:r>
          </w:p>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减振隔声</w:t>
            </w:r>
          </w:p>
        </w:tc>
        <w:tc>
          <w:tcPr>
            <w:tcW w:w="788"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10~15</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75~80</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70</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75~80</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restart"/>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生产车间</w:t>
            </w:r>
          </w:p>
        </w:tc>
        <w:tc>
          <w:tcPr>
            <w:tcW w:w="1311"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板框压滤机</w:t>
            </w:r>
          </w:p>
        </w:tc>
        <w:tc>
          <w:tcPr>
            <w:tcW w:w="850"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连续</w:t>
            </w:r>
          </w:p>
        </w:tc>
        <w:tc>
          <w:tcPr>
            <w:tcW w:w="1258" w:type="dxa"/>
            <w:vMerge w:val="restart"/>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低噪设备</w:t>
            </w:r>
          </w:p>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减振隔声</w:t>
            </w:r>
          </w:p>
        </w:tc>
        <w:tc>
          <w:tcPr>
            <w:tcW w:w="788" w:type="dxa"/>
            <w:vMerge w:val="restart"/>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10~15</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75~80</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65</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75~80</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pStyle w:val="54"/>
              <w:widowControl w:val="0"/>
              <w:rPr>
                <w:rFonts w:ascii="Times New Roman" w:hAnsi="Times New Roman" w:eastAsia="宋体" w:cs="Times New Roman"/>
                <w:color w:val="auto"/>
              </w:rPr>
            </w:pPr>
          </w:p>
        </w:tc>
        <w:tc>
          <w:tcPr>
            <w:tcW w:w="1311"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集气风机</w:t>
            </w:r>
          </w:p>
        </w:tc>
        <w:tc>
          <w:tcPr>
            <w:tcW w:w="850"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连续</w:t>
            </w:r>
          </w:p>
        </w:tc>
        <w:tc>
          <w:tcPr>
            <w:tcW w:w="1258" w:type="dxa"/>
            <w:vMerge w:val="continue"/>
            <w:vAlign w:val="center"/>
          </w:tcPr>
          <w:p>
            <w:pPr>
              <w:pStyle w:val="54"/>
              <w:widowControl w:val="0"/>
              <w:rPr>
                <w:rFonts w:ascii="Times New Roman" w:hAnsi="Times New Roman" w:eastAsia="宋体" w:cs="Times New Roman"/>
                <w:color w:val="auto"/>
              </w:rPr>
            </w:pPr>
          </w:p>
        </w:tc>
        <w:tc>
          <w:tcPr>
            <w:tcW w:w="788" w:type="dxa"/>
            <w:vMerge w:val="continue"/>
            <w:vAlign w:val="center"/>
          </w:tcPr>
          <w:p>
            <w:pPr>
              <w:pStyle w:val="54"/>
              <w:widowControl w:val="0"/>
              <w:rPr>
                <w:rFonts w:ascii="Times New Roman" w:hAnsi="Times New Roman" w:eastAsia="宋体" w:cs="Times New Roman"/>
                <w:color w:val="auto"/>
              </w:rPr>
            </w:pP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75~85</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70</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75~85</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pStyle w:val="54"/>
              <w:widowControl w:val="0"/>
              <w:rPr>
                <w:rFonts w:ascii="Times New Roman" w:hAnsi="Times New Roman" w:eastAsia="宋体" w:cs="Times New Roman"/>
                <w:color w:val="auto"/>
              </w:rPr>
            </w:pPr>
          </w:p>
        </w:tc>
        <w:tc>
          <w:tcPr>
            <w:tcW w:w="1311"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泵机</w:t>
            </w:r>
          </w:p>
        </w:tc>
        <w:tc>
          <w:tcPr>
            <w:tcW w:w="850"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连续</w:t>
            </w:r>
          </w:p>
        </w:tc>
        <w:tc>
          <w:tcPr>
            <w:tcW w:w="1258" w:type="dxa"/>
            <w:vMerge w:val="restart"/>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低噪设备</w:t>
            </w:r>
          </w:p>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减振隔声</w:t>
            </w:r>
          </w:p>
        </w:tc>
        <w:tc>
          <w:tcPr>
            <w:tcW w:w="788" w:type="dxa"/>
            <w:vMerge w:val="restart"/>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10~20</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75~85</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65</w:t>
            </w:r>
          </w:p>
        </w:tc>
        <w:tc>
          <w:tcPr>
            <w:tcW w:w="855" w:type="dxa"/>
            <w:vAlign w:val="center"/>
          </w:tcPr>
          <w:p>
            <w:pPr>
              <w:pStyle w:val="54"/>
              <w:widowControl w:val="0"/>
              <w:rPr>
                <w:rFonts w:ascii="Times New Roman" w:hAnsi="Times New Roman" w:eastAsia="宋体" w:cs="Times New Roman"/>
                <w:color w:val="auto"/>
              </w:rPr>
            </w:pPr>
            <w:r>
              <w:rPr>
                <w:rFonts w:hint="eastAsia" w:ascii="Times New Roman" w:hAnsi="Times New Roman" w:eastAsia="宋体" w:cs="Times New Roman"/>
                <w:color w:val="auto"/>
              </w:rPr>
              <w:t>65</w:t>
            </w:r>
            <w:r>
              <w:rPr>
                <w:rFonts w:ascii="Times New Roman" w:hAnsi="Times New Roman" w:eastAsia="宋体" w:cs="Times New Roman"/>
                <w:color w:val="auto"/>
              </w:rPr>
              <w:t>~75</w:t>
            </w:r>
          </w:p>
        </w:tc>
        <w:tc>
          <w:tcPr>
            <w:tcW w:w="855" w:type="dxa"/>
            <w:vAlign w:val="center"/>
          </w:tcPr>
          <w:p>
            <w:pPr>
              <w:pStyle w:val="54"/>
              <w:widowControl w:val="0"/>
              <w:rPr>
                <w:rFonts w:ascii="Times New Roman" w:hAnsi="Times New Roman" w:eastAsia="宋体" w:cs="Times New Roman"/>
                <w:color w:val="auto"/>
              </w:rPr>
            </w:pPr>
            <w:r>
              <w:rPr>
                <w:rFonts w:hint="eastAsia" w:ascii="Times New Roman" w:hAnsi="Times New Roman" w:eastAsia="宋体" w:cs="Times New Roman"/>
                <w:color w:val="auto"/>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pStyle w:val="54"/>
              <w:widowControl w:val="0"/>
              <w:rPr>
                <w:rFonts w:ascii="Times New Roman" w:hAnsi="Times New Roman" w:eastAsia="宋体" w:cs="Times New Roman"/>
                <w:color w:val="auto"/>
              </w:rPr>
            </w:pPr>
          </w:p>
        </w:tc>
        <w:tc>
          <w:tcPr>
            <w:tcW w:w="1311"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鼓风机</w:t>
            </w:r>
          </w:p>
        </w:tc>
        <w:tc>
          <w:tcPr>
            <w:tcW w:w="850"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连续</w:t>
            </w:r>
          </w:p>
        </w:tc>
        <w:tc>
          <w:tcPr>
            <w:tcW w:w="1258" w:type="dxa"/>
            <w:vMerge w:val="continue"/>
            <w:vAlign w:val="center"/>
          </w:tcPr>
          <w:p>
            <w:pPr>
              <w:pStyle w:val="54"/>
              <w:widowControl w:val="0"/>
              <w:rPr>
                <w:rFonts w:ascii="Times New Roman" w:hAnsi="Times New Roman" w:eastAsia="宋体" w:cs="Times New Roman"/>
                <w:color w:val="auto"/>
              </w:rPr>
            </w:pPr>
          </w:p>
        </w:tc>
        <w:tc>
          <w:tcPr>
            <w:tcW w:w="788" w:type="dxa"/>
            <w:vMerge w:val="continue"/>
            <w:vAlign w:val="center"/>
          </w:tcPr>
          <w:p>
            <w:pPr>
              <w:pStyle w:val="54"/>
              <w:widowControl w:val="0"/>
              <w:rPr>
                <w:rFonts w:ascii="Times New Roman" w:hAnsi="Times New Roman" w:eastAsia="宋体" w:cs="Times New Roman"/>
                <w:color w:val="auto"/>
              </w:rPr>
            </w:pP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75~85</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70</w:t>
            </w:r>
          </w:p>
        </w:tc>
        <w:tc>
          <w:tcPr>
            <w:tcW w:w="855" w:type="dxa"/>
            <w:vAlign w:val="center"/>
          </w:tcPr>
          <w:p>
            <w:pPr>
              <w:pStyle w:val="54"/>
              <w:widowControl w:val="0"/>
              <w:rPr>
                <w:rFonts w:ascii="Times New Roman" w:hAnsi="Times New Roman" w:eastAsia="宋体" w:cs="Times New Roman"/>
                <w:color w:val="auto"/>
              </w:rPr>
            </w:pPr>
            <w:r>
              <w:rPr>
                <w:rFonts w:hint="eastAsia" w:ascii="Times New Roman" w:hAnsi="Times New Roman" w:eastAsia="宋体" w:cs="Times New Roman"/>
                <w:color w:val="auto"/>
              </w:rPr>
              <w:t>70</w:t>
            </w:r>
            <w:r>
              <w:rPr>
                <w:rFonts w:ascii="Times New Roman" w:hAnsi="Times New Roman" w:eastAsia="宋体" w:cs="Times New Roman"/>
                <w:color w:val="auto"/>
              </w:rPr>
              <w:t>~80</w:t>
            </w:r>
          </w:p>
        </w:tc>
        <w:tc>
          <w:tcPr>
            <w:tcW w:w="855" w:type="dxa"/>
            <w:vAlign w:val="center"/>
          </w:tcPr>
          <w:p>
            <w:pPr>
              <w:pStyle w:val="54"/>
              <w:widowControl w:val="0"/>
              <w:rPr>
                <w:rFonts w:ascii="Times New Roman" w:hAnsi="Times New Roman" w:eastAsia="宋体" w:cs="Times New Roman"/>
                <w:color w:val="auto"/>
              </w:rPr>
            </w:pPr>
            <w:r>
              <w:rPr>
                <w:rFonts w:hint="eastAsia" w:ascii="Times New Roman" w:hAnsi="Times New Roman" w:eastAsia="宋体" w:cs="Times New Roman"/>
                <w:color w:val="auto"/>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Merge w:val="continue"/>
            <w:vAlign w:val="center"/>
          </w:tcPr>
          <w:p>
            <w:pPr>
              <w:pStyle w:val="54"/>
              <w:widowControl w:val="0"/>
              <w:rPr>
                <w:rFonts w:ascii="Times New Roman" w:hAnsi="Times New Roman" w:eastAsia="宋体" w:cs="Times New Roman"/>
                <w:color w:val="auto"/>
              </w:rPr>
            </w:pPr>
          </w:p>
        </w:tc>
        <w:tc>
          <w:tcPr>
            <w:tcW w:w="1311"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真空泵系统</w:t>
            </w:r>
          </w:p>
        </w:tc>
        <w:tc>
          <w:tcPr>
            <w:tcW w:w="850"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连续</w:t>
            </w:r>
          </w:p>
        </w:tc>
        <w:tc>
          <w:tcPr>
            <w:tcW w:w="1258" w:type="dxa"/>
            <w:vMerge w:val="continue"/>
            <w:vAlign w:val="center"/>
          </w:tcPr>
          <w:p>
            <w:pPr>
              <w:pStyle w:val="54"/>
              <w:widowControl w:val="0"/>
              <w:rPr>
                <w:rFonts w:ascii="Times New Roman" w:hAnsi="Times New Roman" w:eastAsia="宋体" w:cs="Times New Roman"/>
                <w:color w:val="auto"/>
              </w:rPr>
            </w:pPr>
          </w:p>
        </w:tc>
        <w:tc>
          <w:tcPr>
            <w:tcW w:w="788" w:type="dxa"/>
            <w:vMerge w:val="continue"/>
            <w:vAlign w:val="center"/>
          </w:tcPr>
          <w:p>
            <w:pPr>
              <w:pStyle w:val="54"/>
              <w:widowControl w:val="0"/>
              <w:rPr>
                <w:rFonts w:ascii="Times New Roman" w:hAnsi="Times New Roman" w:eastAsia="宋体" w:cs="Times New Roman"/>
                <w:color w:val="auto"/>
              </w:rPr>
            </w:pP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85~90</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70</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85~90</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空压机房</w:t>
            </w:r>
          </w:p>
        </w:tc>
        <w:tc>
          <w:tcPr>
            <w:tcW w:w="1311"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空压机</w:t>
            </w:r>
          </w:p>
        </w:tc>
        <w:tc>
          <w:tcPr>
            <w:tcW w:w="850"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连续</w:t>
            </w:r>
          </w:p>
        </w:tc>
        <w:tc>
          <w:tcPr>
            <w:tcW w:w="1258"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低噪设备</w:t>
            </w:r>
          </w:p>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减振隔声</w:t>
            </w:r>
          </w:p>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消声</w:t>
            </w:r>
          </w:p>
        </w:tc>
        <w:tc>
          <w:tcPr>
            <w:tcW w:w="788"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10~20</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95</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70</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95</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9"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污水处理站</w:t>
            </w:r>
          </w:p>
        </w:tc>
        <w:tc>
          <w:tcPr>
            <w:tcW w:w="1311"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泵机</w:t>
            </w:r>
          </w:p>
        </w:tc>
        <w:tc>
          <w:tcPr>
            <w:tcW w:w="850"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连续</w:t>
            </w:r>
          </w:p>
        </w:tc>
        <w:tc>
          <w:tcPr>
            <w:tcW w:w="1258"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低噪设备</w:t>
            </w:r>
          </w:p>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减振隔声</w:t>
            </w:r>
          </w:p>
        </w:tc>
        <w:tc>
          <w:tcPr>
            <w:tcW w:w="788"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10~20</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75~85</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70</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75~85</w:t>
            </w:r>
          </w:p>
        </w:tc>
        <w:tc>
          <w:tcPr>
            <w:tcW w:w="855" w:type="dxa"/>
            <w:vAlign w:val="center"/>
          </w:tcPr>
          <w:p>
            <w:pPr>
              <w:pStyle w:val="54"/>
              <w:widowControl w:val="0"/>
              <w:rPr>
                <w:rFonts w:ascii="Times New Roman" w:hAnsi="Times New Roman" w:eastAsia="宋体" w:cs="Times New Roman"/>
                <w:color w:val="auto"/>
              </w:rPr>
            </w:pPr>
            <w:r>
              <w:rPr>
                <w:rFonts w:ascii="Times New Roman" w:hAnsi="Times New Roman" w:eastAsia="宋体" w:cs="Times New Roman"/>
                <w:color w:val="auto"/>
              </w:rPr>
              <w:t>70</w:t>
            </w:r>
          </w:p>
        </w:tc>
      </w:tr>
    </w:tbl>
    <w:p>
      <w:pPr>
        <w:pStyle w:val="40"/>
        <w:rPr>
          <w:snapToGrid w:val="0"/>
          <w:color w:val="auto"/>
        </w:rPr>
      </w:pPr>
      <w:bookmarkStart w:id="49" w:name="_Toc8391548"/>
      <w:r>
        <w:rPr>
          <w:rFonts w:hint="eastAsia"/>
          <w:snapToGrid w:val="0"/>
          <w:color w:val="auto"/>
        </w:rPr>
        <w:t>3.</w:t>
      </w:r>
      <w:r>
        <w:rPr>
          <w:snapToGrid w:val="0"/>
          <w:color w:val="auto"/>
        </w:rPr>
        <w:t>8</w:t>
      </w:r>
      <w:r>
        <w:rPr>
          <w:rFonts w:hint="eastAsia"/>
          <w:snapToGrid w:val="0"/>
          <w:color w:val="auto"/>
        </w:rPr>
        <w:t>.</w:t>
      </w:r>
      <w:r>
        <w:rPr>
          <w:snapToGrid w:val="0"/>
          <w:color w:val="auto"/>
        </w:rPr>
        <w:t>4</w:t>
      </w:r>
      <w:r>
        <w:rPr>
          <w:rFonts w:hint="eastAsia"/>
          <w:snapToGrid w:val="0"/>
          <w:color w:val="auto"/>
        </w:rPr>
        <w:t xml:space="preserve"> 固体废物</w:t>
      </w:r>
      <w:bookmarkEnd w:id="49"/>
    </w:p>
    <w:p>
      <w:pPr>
        <w:spacing w:line="480" w:lineRule="exact"/>
        <w:ind w:firstLine="482" w:firstLineChars="200"/>
        <w:rPr>
          <w:rFonts w:ascii="Times New Roman" w:hAnsi="Times New Roman" w:eastAsia="宋体"/>
          <w:b/>
          <w:kern w:val="0"/>
          <w:sz w:val="24"/>
          <w:szCs w:val="24"/>
        </w:rPr>
      </w:pPr>
      <w:r>
        <w:rPr>
          <w:rFonts w:hint="eastAsia" w:ascii="Times New Roman" w:hAnsi="Times New Roman" w:eastAsia="宋体"/>
          <w:b/>
          <w:kern w:val="0"/>
          <w:sz w:val="24"/>
          <w:szCs w:val="24"/>
        </w:rPr>
        <w:t>项目变更前，</w:t>
      </w:r>
      <w:r>
        <w:rPr>
          <w:rFonts w:ascii="Times New Roman" w:hAnsi="Times New Roman" w:eastAsia="宋体"/>
          <w:b/>
          <w:kern w:val="0"/>
          <w:sz w:val="24"/>
          <w:szCs w:val="24"/>
        </w:rPr>
        <w:t>产生的固体废物主要包括</w:t>
      </w:r>
      <w:r>
        <w:rPr>
          <w:rFonts w:hint="eastAsia" w:ascii="Times New Roman" w:hAnsi="Times New Roman" w:eastAsia="宋体"/>
          <w:b/>
          <w:kern w:val="0"/>
          <w:sz w:val="24"/>
          <w:szCs w:val="24"/>
        </w:rPr>
        <w:t>预处理装罝产生的废过滤网、废含油废渣、含油污泥、板框压滤机废滤布和含油抹布、废活性炭</w:t>
      </w:r>
      <w:r>
        <w:rPr>
          <w:rFonts w:ascii="Times New Roman" w:hAnsi="Times New Roman" w:eastAsia="宋体"/>
          <w:b/>
          <w:kern w:val="0"/>
          <w:sz w:val="24"/>
          <w:szCs w:val="24"/>
        </w:rPr>
        <w:t>和生活垃圾等。</w:t>
      </w:r>
    </w:p>
    <w:p>
      <w:pPr>
        <w:spacing w:line="480" w:lineRule="exact"/>
        <w:ind w:firstLine="482" w:firstLineChars="200"/>
        <w:rPr>
          <w:rFonts w:ascii="Times New Roman" w:hAnsi="Times New Roman" w:eastAsia="宋体"/>
          <w:b/>
          <w:kern w:val="0"/>
          <w:sz w:val="24"/>
          <w:szCs w:val="24"/>
        </w:rPr>
      </w:pPr>
      <w:r>
        <w:rPr>
          <w:rFonts w:hint="eastAsia" w:ascii="Times New Roman" w:hAnsi="Times New Roman" w:eastAsia="宋体"/>
          <w:b/>
          <w:kern w:val="0"/>
          <w:sz w:val="24"/>
          <w:szCs w:val="24"/>
        </w:rPr>
        <w:t>项目变更后，预处理工序中去掉精密过滤器过滤，故不会再产生废过滤网。变更后，含油废渣产生总量与原环评保持一致，来源有所变化。其他固体废物产排情况不变，具体如下：</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含油废渣</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对废矿物油综合利用加工时，为保证产品质量，原料需经过脱固、脱油泥、分子筛吸附等工序，将会有少量含油废物产生，产生量约为4984</w:t>
      </w:r>
      <w:r>
        <w:rPr>
          <w:rFonts w:ascii="Times New Roman" w:hAnsi="Times New Roman" w:eastAsia="宋体" w:cs="Times New Roman"/>
          <w:sz w:val="24"/>
          <w:szCs w:val="24"/>
        </w:rPr>
        <w:t>t/a，属于含有矿物油的危险废渣，危废</w:t>
      </w:r>
      <w:r>
        <w:rPr>
          <w:rFonts w:hint="eastAsia" w:ascii="Times New Roman" w:hAnsi="Times New Roman" w:eastAsia="宋体" w:cs="Times New Roman"/>
          <w:sz w:val="24"/>
          <w:szCs w:val="24"/>
        </w:rPr>
        <w:t>类别</w:t>
      </w:r>
      <w:r>
        <w:rPr>
          <w:rFonts w:ascii="Times New Roman" w:hAnsi="Times New Roman" w:eastAsia="宋体" w:cs="Times New Roman"/>
          <w:sz w:val="24"/>
          <w:szCs w:val="24"/>
        </w:rPr>
        <w:t>为HW08，</w:t>
      </w:r>
      <w:r>
        <w:rPr>
          <w:rFonts w:hint="eastAsia" w:ascii="Times New Roman" w:hAnsi="Times New Roman" w:eastAsia="宋体" w:cs="Times New Roman"/>
          <w:sz w:val="24"/>
          <w:szCs w:val="24"/>
        </w:rPr>
        <w:t>废物代码是900-213-08，委托</w:t>
      </w:r>
      <w:r>
        <w:rPr>
          <w:rFonts w:ascii="Times New Roman" w:hAnsi="Times New Roman" w:eastAsia="宋体" w:cs="Times New Roman"/>
          <w:sz w:val="24"/>
          <w:szCs w:val="24"/>
        </w:rPr>
        <w:t>有资质单位</w:t>
      </w:r>
      <w:r>
        <w:rPr>
          <w:rFonts w:hint="eastAsia" w:ascii="Times New Roman" w:hAnsi="Times New Roman" w:eastAsia="宋体" w:cs="Times New Roman"/>
          <w:sz w:val="24"/>
          <w:szCs w:val="24"/>
        </w:rPr>
        <w:t>处置</w:t>
      </w:r>
      <w:r>
        <w:rPr>
          <w:rFonts w:ascii="Times New Roman" w:hAnsi="Times New Roman" w:eastAsia="宋体" w:cs="Times New Roman"/>
          <w:sz w:val="24"/>
          <w:szCs w:val="24"/>
        </w:rPr>
        <w:t>。</w:t>
      </w:r>
    </w:p>
    <w:p>
      <w:pPr>
        <w:spacing w:line="480" w:lineRule="exact"/>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变更后，项目含油废渣主要产生单位为预处理单元的脱油泥机和分子筛吸</w:t>
      </w:r>
      <w:r>
        <w:rPr>
          <w:rFonts w:hint="eastAsia" w:ascii="Times New Roman" w:hAnsi="Times New Roman" w:eastAsia="宋体" w:cs="Times New Roman"/>
          <w:sz w:val="24"/>
          <w:szCs w:val="24"/>
        </w:rPr>
        <w:t>附工序的板框压滤产生的废渣。</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①预处理单元</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项目预处理单位产生的废渣主要是在脱油泥机产生的废渣（S</w:t>
      </w:r>
      <w:r>
        <w:rPr>
          <w:rFonts w:ascii="Times New Roman" w:hAnsi="Times New Roman" w:eastAsia="宋体" w:cs="Times New Roman"/>
          <w:sz w:val="24"/>
          <w:szCs w:val="24"/>
        </w:rPr>
        <w:t>1</w:t>
      </w:r>
      <w:r>
        <w:rPr>
          <w:rFonts w:hint="eastAsia" w:ascii="Times New Roman" w:hAnsi="Times New Roman" w:eastAsia="宋体" w:cs="Times New Roman"/>
          <w:sz w:val="24"/>
          <w:szCs w:val="24"/>
        </w:rPr>
        <w:t>），产生量为82kg/h，合计656t/a。</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②分子筛吸附工段</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项目分子筛吸附工段产生的废渣主要是板框压滤器装置产生的含油废渣（S3），产生量为541 kg/h，合计4328 t/a。</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废滤布和含油抹布</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原料分子筛吸附中的板框压滤机压滤后的废滤布和含油抹布，属于属于含油的危险废物，产生量为1t/a。危废类别为</w:t>
      </w:r>
      <w:r>
        <w:rPr>
          <w:rFonts w:ascii="Times New Roman" w:hAnsi="Times New Roman" w:eastAsia="宋体" w:cs="Times New Roman"/>
          <w:sz w:val="24"/>
          <w:szCs w:val="24"/>
        </w:rPr>
        <w:t>HW</w:t>
      </w:r>
      <w:r>
        <w:rPr>
          <w:rFonts w:hint="eastAsia" w:ascii="Times New Roman" w:hAnsi="Times New Roman" w:eastAsia="宋体" w:cs="Times New Roman"/>
          <w:sz w:val="24"/>
          <w:szCs w:val="24"/>
        </w:rPr>
        <w:t>08</w:t>
      </w:r>
      <w:r>
        <w:rPr>
          <w:rFonts w:ascii="Times New Roman" w:hAnsi="Times New Roman" w:eastAsia="宋体" w:cs="Times New Roman"/>
          <w:sz w:val="24"/>
          <w:szCs w:val="24"/>
        </w:rPr>
        <w:t>，废物代码是900-249-08，委托有资质单位处置。</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）含油污泥</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项目污水预处理系统年产生含油污泥</w:t>
      </w:r>
      <w:r>
        <w:rPr>
          <w:rFonts w:hint="eastAsia" w:ascii="Times New Roman" w:hAnsi="Times New Roman" w:eastAsia="宋体" w:cs="Times New Roman"/>
          <w:sz w:val="24"/>
          <w:szCs w:val="24"/>
        </w:rPr>
        <w:t>17.2</w:t>
      </w:r>
      <w:r>
        <w:rPr>
          <w:rFonts w:ascii="Times New Roman" w:hAnsi="Times New Roman" w:eastAsia="宋体" w:cs="Times New Roman"/>
          <w:sz w:val="24"/>
          <w:szCs w:val="24"/>
        </w:rPr>
        <w:t>t/a，属于含有矿物油的危险废物，危废</w:t>
      </w:r>
      <w:r>
        <w:rPr>
          <w:rFonts w:hint="eastAsia" w:ascii="Times New Roman" w:hAnsi="Times New Roman" w:eastAsia="宋体" w:cs="Times New Roman"/>
          <w:sz w:val="24"/>
          <w:szCs w:val="24"/>
        </w:rPr>
        <w:t>类别</w:t>
      </w:r>
      <w:r>
        <w:rPr>
          <w:rFonts w:ascii="Times New Roman" w:hAnsi="Times New Roman" w:eastAsia="宋体" w:cs="Times New Roman"/>
          <w:sz w:val="24"/>
          <w:szCs w:val="24"/>
        </w:rPr>
        <w:t>为HW08</w:t>
      </w:r>
      <w:r>
        <w:rPr>
          <w:rFonts w:hint="eastAsia" w:ascii="Times New Roman" w:hAnsi="Times New Roman" w:eastAsia="宋体" w:cs="Times New Roman"/>
          <w:sz w:val="24"/>
          <w:szCs w:val="24"/>
        </w:rPr>
        <w:t>，废物代码是900-213-08，委托</w:t>
      </w:r>
      <w:r>
        <w:rPr>
          <w:rFonts w:ascii="Times New Roman" w:hAnsi="Times New Roman" w:eastAsia="宋体" w:cs="Times New Roman"/>
          <w:sz w:val="24"/>
          <w:szCs w:val="24"/>
        </w:rPr>
        <w:t>有资质单位</w:t>
      </w:r>
      <w:r>
        <w:rPr>
          <w:rFonts w:hint="eastAsia" w:ascii="Times New Roman" w:hAnsi="Times New Roman" w:eastAsia="宋体" w:cs="Times New Roman"/>
          <w:sz w:val="24"/>
          <w:szCs w:val="24"/>
        </w:rPr>
        <w:t>处置</w:t>
      </w:r>
      <w:r>
        <w:rPr>
          <w:rFonts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（4）废活性炭</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w:t>
      </w:r>
      <w:r>
        <w:rPr>
          <w:rFonts w:hint="eastAsia" w:ascii="Times New Roman" w:hAnsi="Times New Roman" w:eastAsia="宋体" w:cs="Times New Roman"/>
          <w:sz w:val="24"/>
          <w:szCs w:val="24"/>
        </w:rPr>
        <w:t>油气回收装置每年</w:t>
      </w:r>
      <w:r>
        <w:rPr>
          <w:rFonts w:ascii="Times New Roman" w:hAnsi="Times New Roman" w:eastAsia="宋体" w:cs="Times New Roman"/>
          <w:sz w:val="24"/>
          <w:szCs w:val="24"/>
        </w:rPr>
        <w:t>需更换活性炭一次，每次每套更换活性炭100kg/次套，每年共计产生废活性炭</w:t>
      </w:r>
      <w:r>
        <w:rPr>
          <w:rFonts w:hint="eastAsia" w:ascii="Times New Roman" w:hAnsi="Times New Roman" w:eastAsia="宋体" w:cs="Times New Roman"/>
          <w:sz w:val="24"/>
          <w:szCs w:val="24"/>
        </w:rPr>
        <w:t>0.8</w:t>
      </w:r>
      <w:r>
        <w:rPr>
          <w:rFonts w:ascii="Times New Roman" w:hAnsi="Times New Roman" w:eastAsia="宋体" w:cs="Times New Roman"/>
          <w:sz w:val="24"/>
          <w:szCs w:val="24"/>
        </w:rPr>
        <w:t>t/a。属于含油的危险废物，危废</w:t>
      </w:r>
      <w:r>
        <w:rPr>
          <w:rFonts w:hint="eastAsia" w:ascii="Times New Roman" w:hAnsi="Times New Roman" w:eastAsia="宋体" w:cs="Times New Roman"/>
          <w:sz w:val="24"/>
          <w:szCs w:val="24"/>
        </w:rPr>
        <w:t>类别为</w:t>
      </w:r>
      <w:r>
        <w:rPr>
          <w:rFonts w:ascii="Times New Roman" w:hAnsi="Times New Roman" w:eastAsia="宋体" w:cs="Times New Roman"/>
          <w:sz w:val="24"/>
          <w:szCs w:val="24"/>
        </w:rPr>
        <w:t>HW49</w:t>
      </w:r>
      <w:r>
        <w:rPr>
          <w:rFonts w:hint="eastAsia" w:ascii="Times New Roman" w:hAnsi="Times New Roman" w:eastAsia="宋体" w:cs="Times New Roman"/>
          <w:sz w:val="24"/>
          <w:szCs w:val="24"/>
        </w:rPr>
        <w:t>，废物代码是</w:t>
      </w:r>
      <w:r>
        <w:rPr>
          <w:rFonts w:ascii="Times New Roman" w:hAnsi="Times New Roman" w:eastAsia="宋体" w:cs="Times New Roman"/>
          <w:sz w:val="24"/>
          <w:szCs w:val="24"/>
        </w:rPr>
        <w:t>900-039-49</w:t>
      </w:r>
      <w:r>
        <w:rPr>
          <w:rFonts w:hint="eastAsia" w:ascii="Times New Roman" w:hAnsi="Times New Roman" w:eastAsia="宋体" w:cs="Times New Roman"/>
          <w:sz w:val="24"/>
          <w:szCs w:val="24"/>
        </w:rPr>
        <w:t>，委托</w:t>
      </w:r>
      <w:r>
        <w:rPr>
          <w:rFonts w:ascii="Times New Roman" w:hAnsi="Times New Roman" w:eastAsia="宋体" w:cs="Times New Roman"/>
          <w:sz w:val="24"/>
          <w:szCs w:val="24"/>
        </w:rPr>
        <w:t>有资质单位</w:t>
      </w:r>
      <w:r>
        <w:rPr>
          <w:rFonts w:hint="eastAsia" w:ascii="Times New Roman" w:hAnsi="Times New Roman" w:eastAsia="宋体" w:cs="Times New Roman"/>
          <w:sz w:val="24"/>
          <w:szCs w:val="24"/>
        </w:rPr>
        <w:t>处置</w:t>
      </w:r>
      <w:r>
        <w:rPr>
          <w:rFonts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（5）生活垃圾</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项目劳动定员为</w:t>
      </w:r>
      <w:r>
        <w:rPr>
          <w:rFonts w:hint="eastAsia" w:ascii="Times New Roman" w:hAnsi="Times New Roman" w:eastAsia="宋体" w:cs="Times New Roman"/>
          <w:sz w:val="24"/>
          <w:szCs w:val="24"/>
        </w:rPr>
        <w:t>80</w:t>
      </w:r>
      <w:r>
        <w:rPr>
          <w:rFonts w:ascii="Times New Roman" w:hAnsi="Times New Roman" w:eastAsia="宋体" w:cs="Times New Roman"/>
          <w:sz w:val="24"/>
          <w:szCs w:val="24"/>
        </w:rPr>
        <w:t>人，每人每日产生生活垃圾按1.0kg/人•日计算，项目产生生活垃圾为0.0</w:t>
      </w:r>
      <w:r>
        <w:rPr>
          <w:rFonts w:hint="eastAsia" w:ascii="Times New Roman" w:hAnsi="Times New Roman" w:eastAsia="宋体" w:cs="Times New Roman"/>
          <w:sz w:val="24"/>
          <w:szCs w:val="24"/>
        </w:rPr>
        <w:t>8</w:t>
      </w:r>
      <w:r>
        <w:rPr>
          <w:rFonts w:ascii="Times New Roman" w:hAnsi="Times New Roman" w:eastAsia="宋体" w:cs="Times New Roman"/>
          <w:sz w:val="24"/>
          <w:szCs w:val="24"/>
        </w:rPr>
        <w:t>t/d（</w:t>
      </w:r>
      <w:r>
        <w:rPr>
          <w:rFonts w:hint="eastAsia" w:ascii="Times New Roman" w:hAnsi="Times New Roman" w:eastAsia="宋体" w:cs="Times New Roman"/>
          <w:sz w:val="24"/>
          <w:szCs w:val="24"/>
        </w:rPr>
        <w:t>26.4</w:t>
      </w:r>
      <w:r>
        <w:rPr>
          <w:rFonts w:ascii="Times New Roman" w:hAnsi="Times New Roman" w:eastAsia="宋体" w:cs="Times New Roman"/>
          <w:sz w:val="24"/>
          <w:szCs w:val="24"/>
        </w:rPr>
        <w:t>t/a），产生的生活垃圾每日由环卫部门</w:t>
      </w:r>
      <w:r>
        <w:rPr>
          <w:rFonts w:hint="eastAsia" w:ascii="Times New Roman" w:hAnsi="Times New Roman" w:eastAsia="宋体" w:cs="Times New Roman"/>
          <w:sz w:val="24"/>
          <w:szCs w:val="24"/>
        </w:rPr>
        <w:t>清运</w:t>
      </w:r>
      <w:r>
        <w:rPr>
          <w:rFonts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项目变更前后</w:t>
      </w:r>
      <w:r>
        <w:rPr>
          <w:rFonts w:ascii="Times New Roman" w:hAnsi="Times New Roman" w:eastAsia="宋体" w:cs="Times New Roman"/>
          <w:sz w:val="24"/>
          <w:szCs w:val="24"/>
        </w:rPr>
        <w:t>固体废弃物污染源统计详见表3.8-</w:t>
      </w:r>
      <w:r>
        <w:rPr>
          <w:rFonts w:hint="eastAsia" w:ascii="Times New Roman" w:hAnsi="Times New Roman" w:eastAsia="宋体" w:cs="Times New Roman"/>
          <w:sz w:val="24"/>
          <w:szCs w:val="24"/>
        </w:rPr>
        <w:t>1</w:t>
      </w:r>
      <w:r>
        <w:rPr>
          <w:rFonts w:ascii="Times New Roman" w:hAnsi="Times New Roman" w:eastAsia="宋体" w:cs="Times New Roman"/>
          <w:sz w:val="24"/>
          <w:szCs w:val="24"/>
        </w:rPr>
        <w:t>1。</w:t>
      </w:r>
    </w:p>
    <w:p>
      <w:pPr>
        <w:spacing w:line="480" w:lineRule="exact"/>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表3.8-</w:t>
      </w:r>
      <w:r>
        <w:rPr>
          <w:rFonts w:hint="eastAsia" w:ascii="Times New Roman" w:hAnsi="Times New Roman" w:eastAsia="黑体" w:cs="Times New Roman"/>
          <w:sz w:val="24"/>
          <w:szCs w:val="24"/>
        </w:rPr>
        <w:t>1</w:t>
      </w:r>
      <w:r>
        <w:rPr>
          <w:rFonts w:ascii="Times New Roman" w:hAnsi="Times New Roman" w:eastAsia="黑体" w:cs="Times New Roman"/>
          <w:sz w:val="24"/>
          <w:szCs w:val="24"/>
        </w:rPr>
        <w:t xml:space="preserve">1        </w:t>
      </w:r>
      <w:r>
        <w:rPr>
          <w:rFonts w:hint="eastAsia" w:ascii="Times New Roman" w:hAnsi="Times New Roman" w:eastAsia="黑体" w:cs="Times New Roman"/>
          <w:sz w:val="24"/>
          <w:szCs w:val="24"/>
        </w:rPr>
        <w:t xml:space="preserve"> </w:t>
      </w:r>
      <w:r>
        <w:rPr>
          <w:rFonts w:ascii="Times New Roman" w:hAnsi="Times New Roman" w:eastAsia="黑体" w:cs="Times New Roman"/>
          <w:sz w:val="24"/>
          <w:szCs w:val="24"/>
        </w:rPr>
        <w:t>本项目固体废弃物污染源统计一览表</w:t>
      </w:r>
    </w:p>
    <w:tbl>
      <w:tblPr>
        <w:tblStyle w:val="19"/>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3"/>
        <w:gridCol w:w="570"/>
        <w:gridCol w:w="1050"/>
        <w:gridCol w:w="1420"/>
        <w:gridCol w:w="712"/>
        <w:gridCol w:w="1273"/>
        <w:gridCol w:w="677"/>
        <w:gridCol w:w="1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923" w:type="dxa"/>
            <w:vMerge w:val="restart"/>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类别</w:t>
            </w:r>
          </w:p>
        </w:tc>
        <w:tc>
          <w:tcPr>
            <w:tcW w:w="570" w:type="dxa"/>
            <w:vMerge w:val="restart"/>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废物代码</w:t>
            </w:r>
          </w:p>
        </w:tc>
        <w:tc>
          <w:tcPr>
            <w:tcW w:w="1050" w:type="dxa"/>
            <w:vMerge w:val="restart"/>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名称</w:t>
            </w:r>
          </w:p>
        </w:tc>
        <w:tc>
          <w:tcPr>
            <w:tcW w:w="2132" w:type="dxa"/>
            <w:gridSpan w:val="2"/>
            <w:vAlign w:val="center"/>
          </w:tcPr>
          <w:p>
            <w:pPr>
              <w:pStyle w:val="52"/>
              <w:spacing w:line="240" w:lineRule="exact"/>
              <w:ind w:left="0"/>
              <w:jc w:val="center"/>
              <w:rPr>
                <w:rFonts w:ascii="Times New Roman" w:hAnsi="Times New Roman" w:eastAsia="宋体" w:cs="Times New Roman"/>
                <w:szCs w:val="21"/>
              </w:rPr>
            </w:pPr>
            <w:r>
              <w:rPr>
                <w:rFonts w:hint="eastAsia" w:ascii="Times New Roman" w:hAnsi="Times New Roman" w:eastAsia="宋体" w:cs="Times New Roman"/>
                <w:szCs w:val="21"/>
              </w:rPr>
              <w:t>变更前</w:t>
            </w:r>
          </w:p>
        </w:tc>
        <w:tc>
          <w:tcPr>
            <w:tcW w:w="1950" w:type="dxa"/>
            <w:gridSpan w:val="2"/>
            <w:vAlign w:val="center"/>
          </w:tcPr>
          <w:p>
            <w:pPr>
              <w:pStyle w:val="52"/>
              <w:spacing w:line="240" w:lineRule="exact"/>
              <w:ind w:left="0"/>
              <w:jc w:val="center"/>
              <w:rPr>
                <w:rFonts w:ascii="Times New Roman" w:hAnsi="Times New Roman" w:eastAsia="宋体" w:cs="Times New Roman"/>
                <w:szCs w:val="21"/>
              </w:rPr>
            </w:pPr>
            <w:r>
              <w:rPr>
                <w:rFonts w:hint="eastAsia" w:ascii="Times New Roman" w:hAnsi="Times New Roman" w:eastAsia="宋体" w:cs="Times New Roman"/>
                <w:szCs w:val="21"/>
              </w:rPr>
              <w:t>变更后</w:t>
            </w:r>
          </w:p>
        </w:tc>
        <w:tc>
          <w:tcPr>
            <w:tcW w:w="1671" w:type="dxa"/>
            <w:vMerge w:val="restart"/>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处理措施及去向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923" w:type="dxa"/>
            <w:vMerge w:val="continue"/>
            <w:vAlign w:val="center"/>
          </w:tcPr>
          <w:p>
            <w:pPr>
              <w:pStyle w:val="52"/>
              <w:spacing w:line="240" w:lineRule="exact"/>
              <w:ind w:left="0"/>
              <w:jc w:val="center"/>
              <w:rPr>
                <w:rFonts w:ascii="Times New Roman" w:hAnsi="Times New Roman" w:eastAsia="宋体" w:cs="Times New Roman"/>
                <w:szCs w:val="21"/>
              </w:rPr>
            </w:pPr>
          </w:p>
        </w:tc>
        <w:tc>
          <w:tcPr>
            <w:tcW w:w="570" w:type="dxa"/>
            <w:vMerge w:val="continue"/>
            <w:vAlign w:val="center"/>
          </w:tcPr>
          <w:p>
            <w:pPr>
              <w:pStyle w:val="52"/>
              <w:spacing w:line="240" w:lineRule="exact"/>
              <w:ind w:left="0"/>
              <w:jc w:val="center"/>
              <w:rPr>
                <w:rFonts w:ascii="Times New Roman" w:hAnsi="Times New Roman" w:eastAsia="宋体" w:cs="Times New Roman"/>
                <w:szCs w:val="21"/>
              </w:rPr>
            </w:pPr>
          </w:p>
        </w:tc>
        <w:tc>
          <w:tcPr>
            <w:tcW w:w="1050" w:type="dxa"/>
            <w:vMerge w:val="continue"/>
            <w:vAlign w:val="center"/>
          </w:tcPr>
          <w:p>
            <w:pPr>
              <w:pStyle w:val="52"/>
              <w:spacing w:line="240" w:lineRule="exact"/>
              <w:ind w:left="0"/>
              <w:jc w:val="center"/>
              <w:rPr>
                <w:rFonts w:ascii="Times New Roman" w:hAnsi="Times New Roman" w:eastAsia="宋体" w:cs="Times New Roman"/>
                <w:szCs w:val="21"/>
              </w:rPr>
            </w:pPr>
          </w:p>
        </w:tc>
        <w:tc>
          <w:tcPr>
            <w:tcW w:w="1420"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来源</w:t>
            </w:r>
          </w:p>
        </w:tc>
        <w:tc>
          <w:tcPr>
            <w:tcW w:w="71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产生量（t/a）</w:t>
            </w:r>
          </w:p>
        </w:tc>
        <w:tc>
          <w:tcPr>
            <w:tcW w:w="1273"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来源</w:t>
            </w:r>
          </w:p>
        </w:tc>
        <w:tc>
          <w:tcPr>
            <w:tcW w:w="677"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产生量（t/a）</w:t>
            </w:r>
          </w:p>
        </w:tc>
        <w:tc>
          <w:tcPr>
            <w:tcW w:w="1671" w:type="dxa"/>
            <w:vMerge w:val="continue"/>
            <w:vAlign w:val="center"/>
          </w:tcPr>
          <w:p>
            <w:pPr>
              <w:pStyle w:val="52"/>
              <w:spacing w:line="240" w:lineRule="exact"/>
              <w:ind w:left="0"/>
              <w:jc w:val="center"/>
              <w:rPr>
                <w:rFonts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923" w:type="dxa"/>
            <w:vMerge w:val="restart"/>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工艺废物</w:t>
            </w:r>
          </w:p>
        </w:tc>
        <w:tc>
          <w:tcPr>
            <w:tcW w:w="570" w:type="dxa"/>
            <w:vMerge w:val="restart"/>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HW08</w:t>
            </w:r>
          </w:p>
        </w:tc>
        <w:tc>
          <w:tcPr>
            <w:tcW w:w="1050"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含油污泥</w:t>
            </w:r>
          </w:p>
        </w:tc>
        <w:tc>
          <w:tcPr>
            <w:tcW w:w="1420"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污水处理</w:t>
            </w:r>
          </w:p>
        </w:tc>
        <w:tc>
          <w:tcPr>
            <w:tcW w:w="71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17.2</w:t>
            </w:r>
          </w:p>
        </w:tc>
        <w:tc>
          <w:tcPr>
            <w:tcW w:w="1273"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污水处理</w:t>
            </w:r>
          </w:p>
        </w:tc>
        <w:tc>
          <w:tcPr>
            <w:tcW w:w="677"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17.2</w:t>
            </w:r>
          </w:p>
        </w:tc>
        <w:tc>
          <w:tcPr>
            <w:tcW w:w="1671" w:type="dxa"/>
            <w:vMerge w:val="restart"/>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交与有资质的单位处置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923" w:type="dxa"/>
            <w:vMerge w:val="continue"/>
            <w:vAlign w:val="center"/>
          </w:tcPr>
          <w:p>
            <w:pPr>
              <w:spacing w:line="240" w:lineRule="exact"/>
              <w:jc w:val="center"/>
              <w:rPr>
                <w:rFonts w:ascii="Times New Roman" w:hAnsi="Times New Roman" w:eastAsia="宋体" w:cs="Times New Roman"/>
                <w:kern w:val="0"/>
                <w:szCs w:val="21"/>
              </w:rPr>
            </w:pPr>
          </w:p>
        </w:tc>
        <w:tc>
          <w:tcPr>
            <w:tcW w:w="570" w:type="dxa"/>
            <w:vMerge w:val="continue"/>
            <w:vAlign w:val="center"/>
          </w:tcPr>
          <w:p>
            <w:pPr>
              <w:spacing w:line="240" w:lineRule="exact"/>
              <w:jc w:val="center"/>
              <w:rPr>
                <w:rFonts w:ascii="Times New Roman" w:hAnsi="Times New Roman" w:eastAsia="宋体" w:cs="Times New Roman"/>
                <w:kern w:val="0"/>
                <w:szCs w:val="21"/>
              </w:rPr>
            </w:pPr>
          </w:p>
        </w:tc>
        <w:tc>
          <w:tcPr>
            <w:tcW w:w="1050"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含油残渣</w:t>
            </w:r>
          </w:p>
        </w:tc>
        <w:tc>
          <w:tcPr>
            <w:tcW w:w="1420"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生产废渣</w:t>
            </w:r>
          </w:p>
        </w:tc>
        <w:tc>
          <w:tcPr>
            <w:tcW w:w="71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4984</w:t>
            </w:r>
          </w:p>
        </w:tc>
        <w:tc>
          <w:tcPr>
            <w:tcW w:w="1273"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生产废渣</w:t>
            </w:r>
          </w:p>
        </w:tc>
        <w:tc>
          <w:tcPr>
            <w:tcW w:w="677"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4984</w:t>
            </w:r>
          </w:p>
        </w:tc>
        <w:tc>
          <w:tcPr>
            <w:tcW w:w="1671" w:type="dxa"/>
            <w:vMerge w:val="continue"/>
            <w:vAlign w:val="center"/>
          </w:tcPr>
          <w:p>
            <w:pPr>
              <w:spacing w:line="240" w:lineRule="exact"/>
              <w:jc w:val="center"/>
              <w:rPr>
                <w:rFonts w:ascii="Times New Roman" w:hAnsi="Times New Roman" w:eastAsia="宋体" w:cs="Times New Roman"/>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923" w:type="dxa"/>
            <w:vMerge w:val="continue"/>
            <w:vAlign w:val="center"/>
          </w:tcPr>
          <w:p>
            <w:pPr>
              <w:spacing w:line="240" w:lineRule="exact"/>
              <w:jc w:val="center"/>
              <w:rPr>
                <w:rFonts w:ascii="Times New Roman" w:hAnsi="Times New Roman" w:eastAsia="宋体" w:cs="Times New Roman"/>
                <w:kern w:val="0"/>
                <w:szCs w:val="21"/>
              </w:rPr>
            </w:pPr>
          </w:p>
        </w:tc>
        <w:tc>
          <w:tcPr>
            <w:tcW w:w="570" w:type="dxa"/>
            <w:vMerge w:val="continue"/>
            <w:vAlign w:val="center"/>
          </w:tcPr>
          <w:p>
            <w:pPr>
              <w:spacing w:line="240" w:lineRule="exact"/>
              <w:jc w:val="center"/>
              <w:rPr>
                <w:rFonts w:ascii="Times New Roman" w:hAnsi="Times New Roman" w:eastAsia="宋体" w:cs="Times New Roman"/>
                <w:kern w:val="0"/>
                <w:szCs w:val="21"/>
              </w:rPr>
            </w:pPr>
          </w:p>
        </w:tc>
        <w:tc>
          <w:tcPr>
            <w:tcW w:w="1050"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废过滤网</w:t>
            </w:r>
          </w:p>
        </w:tc>
        <w:tc>
          <w:tcPr>
            <w:tcW w:w="1420"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过滤器</w:t>
            </w:r>
          </w:p>
        </w:tc>
        <w:tc>
          <w:tcPr>
            <w:tcW w:w="71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0.3</w:t>
            </w:r>
          </w:p>
        </w:tc>
        <w:tc>
          <w:tcPr>
            <w:tcW w:w="1273" w:type="dxa"/>
            <w:vAlign w:val="center"/>
          </w:tcPr>
          <w:p>
            <w:pPr>
              <w:pStyle w:val="52"/>
              <w:spacing w:line="240" w:lineRule="exact"/>
              <w:ind w:left="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677" w:type="dxa"/>
            <w:vAlign w:val="center"/>
          </w:tcPr>
          <w:p>
            <w:pPr>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71" w:type="dxa"/>
            <w:vMerge w:val="continue"/>
            <w:vAlign w:val="center"/>
          </w:tcPr>
          <w:p>
            <w:pPr>
              <w:spacing w:line="240" w:lineRule="exact"/>
              <w:jc w:val="center"/>
              <w:rPr>
                <w:rFonts w:ascii="Times New Roman" w:hAnsi="Times New Roman" w:eastAsia="宋体" w:cs="Times New Roman"/>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923" w:type="dxa"/>
            <w:vMerge w:val="continue"/>
            <w:vAlign w:val="center"/>
          </w:tcPr>
          <w:p>
            <w:pPr>
              <w:spacing w:line="240" w:lineRule="exact"/>
              <w:jc w:val="center"/>
              <w:rPr>
                <w:rFonts w:ascii="Times New Roman" w:hAnsi="Times New Roman" w:eastAsia="宋体" w:cs="Times New Roman"/>
                <w:kern w:val="0"/>
                <w:szCs w:val="21"/>
              </w:rPr>
            </w:pPr>
          </w:p>
        </w:tc>
        <w:tc>
          <w:tcPr>
            <w:tcW w:w="570" w:type="dxa"/>
            <w:vMerge w:val="continue"/>
            <w:vAlign w:val="center"/>
          </w:tcPr>
          <w:p>
            <w:pPr>
              <w:spacing w:line="240" w:lineRule="exact"/>
              <w:jc w:val="center"/>
              <w:rPr>
                <w:rFonts w:ascii="Times New Roman" w:hAnsi="Times New Roman" w:eastAsia="宋体" w:cs="Times New Roman"/>
                <w:kern w:val="0"/>
                <w:szCs w:val="21"/>
              </w:rPr>
            </w:pPr>
          </w:p>
        </w:tc>
        <w:tc>
          <w:tcPr>
            <w:tcW w:w="1050"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废滤布和</w:t>
            </w:r>
          </w:p>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含油抹布</w:t>
            </w:r>
          </w:p>
        </w:tc>
        <w:tc>
          <w:tcPr>
            <w:tcW w:w="1420"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板框压滤器</w:t>
            </w:r>
          </w:p>
        </w:tc>
        <w:tc>
          <w:tcPr>
            <w:tcW w:w="71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1.5</w:t>
            </w:r>
          </w:p>
        </w:tc>
        <w:tc>
          <w:tcPr>
            <w:tcW w:w="1273"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板框压滤器</w:t>
            </w:r>
          </w:p>
        </w:tc>
        <w:tc>
          <w:tcPr>
            <w:tcW w:w="677"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szCs w:val="21"/>
              </w:rPr>
              <w:t>1.5</w:t>
            </w:r>
          </w:p>
        </w:tc>
        <w:tc>
          <w:tcPr>
            <w:tcW w:w="1671" w:type="dxa"/>
            <w:vMerge w:val="continue"/>
            <w:vAlign w:val="center"/>
          </w:tcPr>
          <w:p>
            <w:pPr>
              <w:spacing w:line="240" w:lineRule="exact"/>
              <w:jc w:val="center"/>
              <w:rPr>
                <w:rFonts w:ascii="Times New Roman" w:hAnsi="Times New Roman" w:eastAsia="宋体" w:cs="Times New Roman"/>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923"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570"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HW49</w:t>
            </w:r>
          </w:p>
        </w:tc>
        <w:tc>
          <w:tcPr>
            <w:tcW w:w="1050"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废活性炭</w:t>
            </w:r>
          </w:p>
        </w:tc>
        <w:tc>
          <w:tcPr>
            <w:tcW w:w="1420"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油气回收装置</w:t>
            </w:r>
          </w:p>
        </w:tc>
        <w:tc>
          <w:tcPr>
            <w:tcW w:w="712" w:type="dxa"/>
            <w:vAlign w:val="center"/>
          </w:tcPr>
          <w:p>
            <w:pPr>
              <w:pStyle w:val="52"/>
              <w:spacing w:line="240" w:lineRule="exact"/>
              <w:ind w:left="0"/>
              <w:jc w:val="center"/>
              <w:rPr>
                <w:rFonts w:ascii="Times New Roman" w:hAnsi="Times New Roman" w:eastAsia="宋体" w:cs="Times New Roman"/>
                <w:szCs w:val="21"/>
              </w:rPr>
            </w:pPr>
            <w:r>
              <w:rPr>
                <w:rFonts w:hint="eastAsia" w:ascii="Times New Roman" w:hAnsi="Times New Roman" w:eastAsia="宋体" w:cs="Times New Roman"/>
                <w:szCs w:val="21"/>
              </w:rPr>
              <w:t>0.8</w:t>
            </w:r>
          </w:p>
        </w:tc>
        <w:tc>
          <w:tcPr>
            <w:tcW w:w="1273"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油气回收装置</w:t>
            </w:r>
          </w:p>
        </w:tc>
        <w:tc>
          <w:tcPr>
            <w:tcW w:w="677" w:type="dxa"/>
            <w:vAlign w:val="center"/>
          </w:tcPr>
          <w:p>
            <w:pPr>
              <w:spacing w:line="240" w:lineRule="exact"/>
              <w:jc w:val="center"/>
              <w:rPr>
                <w:rFonts w:ascii="Times New Roman" w:hAnsi="Times New Roman" w:eastAsia="宋体" w:cs="Times New Roman"/>
                <w:kern w:val="0"/>
                <w:szCs w:val="21"/>
                <w:lang w:eastAsia="en-US"/>
              </w:rPr>
            </w:pPr>
            <w:r>
              <w:rPr>
                <w:rFonts w:hint="eastAsia" w:ascii="Times New Roman" w:hAnsi="Times New Roman" w:eastAsia="宋体" w:cs="Times New Roman"/>
                <w:szCs w:val="21"/>
              </w:rPr>
              <w:t>0.8</w:t>
            </w:r>
          </w:p>
        </w:tc>
        <w:tc>
          <w:tcPr>
            <w:tcW w:w="1671" w:type="dxa"/>
            <w:vMerge w:val="continue"/>
            <w:vAlign w:val="center"/>
          </w:tcPr>
          <w:p>
            <w:pPr>
              <w:spacing w:line="240" w:lineRule="exact"/>
              <w:jc w:val="center"/>
              <w:rPr>
                <w:rFonts w:ascii="Times New Roman" w:hAnsi="Times New Roman" w:eastAsia="宋体" w:cs="Times New Roman"/>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3963" w:type="dxa"/>
            <w:gridSpan w:val="4"/>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小计</w:t>
            </w:r>
          </w:p>
        </w:tc>
        <w:tc>
          <w:tcPr>
            <w:tcW w:w="712" w:type="dxa"/>
            <w:vAlign w:val="center"/>
          </w:tcPr>
          <w:p>
            <w:pPr>
              <w:pStyle w:val="52"/>
              <w:spacing w:line="240" w:lineRule="exact"/>
              <w:ind w:left="0"/>
              <w:jc w:val="center"/>
              <w:rPr>
                <w:rFonts w:ascii="Times New Roman" w:hAnsi="Times New Roman" w:cs="Times New Roman"/>
                <w:szCs w:val="21"/>
              </w:rPr>
            </w:pPr>
            <w:r>
              <w:rPr>
                <w:rFonts w:ascii="Times New Roman" w:hAnsi="Times New Roman" w:cs="Times New Roman"/>
                <w:szCs w:val="21"/>
              </w:rPr>
              <w:t>5003.8</w:t>
            </w:r>
          </w:p>
        </w:tc>
        <w:tc>
          <w:tcPr>
            <w:tcW w:w="1273" w:type="dxa"/>
            <w:vAlign w:val="center"/>
          </w:tcPr>
          <w:p>
            <w:pPr>
              <w:pStyle w:val="52"/>
              <w:spacing w:line="240" w:lineRule="exact"/>
              <w:ind w:left="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677" w:type="dxa"/>
            <w:vAlign w:val="center"/>
          </w:tcPr>
          <w:p>
            <w:pPr>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5003.5</w:t>
            </w:r>
          </w:p>
        </w:tc>
        <w:tc>
          <w:tcPr>
            <w:tcW w:w="1671" w:type="dxa"/>
            <w:vMerge w:val="continue"/>
            <w:vAlign w:val="center"/>
          </w:tcPr>
          <w:p>
            <w:pPr>
              <w:spacing w:line="240" w:lineRule="exact"/>
              <w:jc w:val="center"/>
              <w:rPr>
                <w:rFonts w:ascii="Times New Roman" w:hAnsi="Times New Roman" w:eastAsia="宋体" w:cs="Times New Roman"/>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923"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生活垃圾</w:t>
            </w:r>
          </w:p>
        </w:tc>
        <w:tc>
          <w:tcPr>
            <w:tcW w:w="570"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w:t>
            </w:r>
          </w:p>
        </w:tc>
        <w:tc>
          <w:tcPr>
            <w:tcW w:w="1050"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生活垃圾</w:t>
            </w:r>
          </w:p>
        </w:tc>
        <w:tc>
          <w:tcPr>
            <w:tcW w:w="1420"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办公生活</w:t>
            </w:r>
          </w:p>
        </w:tc>
        <w:tc>
          <w:tcPr>
            <w:tcW w:w="71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26.4</w:t>
            </w:r>
          </w:p>
        </w:tc>
        <w:tc>
          <w:tcPr>
            <w:tcW w:w="1273"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办公生活</w:t>
            </w:r>
          </w:p>
        </w:tc>
        <w:tc>
          <w:tcPr>
            <w:tcW w:w="677"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26.4</w:t>
            </w:r>
          </w:p>
        </w:tc>
        <w:tc>
          <w:tcPr>
            <w:tcW w:w="1671"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市政环卫部门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3963" w:type="dxa"/>
            <w:gridSpan w:val="4"/>
            <w:vAlign w:val="center"/>
          </w:tcPr>
          <w:p>
            <w:pPr>
              <w:pStyle w:val="52"/>
              <w:tabs>
                <w:tab w:val="left" w:pos="2784"/>
              </w:tabs>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合计</w:t>
            </w:r>
          </w:p>
        </w:tc>
        <w:tc>
          <w:tcPr>
            <w:tcW w:w="71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5030.2</w:t>
            </w:r>
          </w:p>
        </w:tc>
        <w:tc>
          <w:tcPr>
            <w:tcW w:w="1273" w:type="dxa"/>
            <w:vAlign w:val="center"/>
          </w:tcPr>
          <w:p>
            <w:pPr>
              <w:pStyle w:val="52"/>
              <w:spacing w:line="240" w:lineRule="exact"/>
              <w:ind w:left="0"/>
              <w:jc w:val="center"/>
              <w:rPr>
                <w:rFonts w:ascii="Times New Roman" w:hAnsi="Times New Roman" w:eastAsia="宋体" w:cs="Times New Roman"/>
                <w:szCs w:val="21"/>
              </w:rPr>
            </w:pPr>
          </w:p>
        </w:tc>
        <w:tc>
          <w:tcPr>
            <w:tcW w:w="677" w:type="dxa"/>
            <w:vAlign w:val="center"/>
          </w:tcPr>
          <w:p>
            <w:pPr>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5029.9</w:t>
            </w:r>
          </w:p>
        </w:tc>
        <w:tc>
          <w:tcPr>
            <w:tcW w:w="1671" w:type="dxa"/>
            <w:vAlign w:val="center"/>
          </w:tcPr>
          <w:p>
            <w:pPr>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r>
    </w:tbl>
    <w:p>
      <w:pPr>
        <w:pStyle w:val="39"/>
        <w:rPr>
          <w:color w:val="auto"/>
        </w:rPr>
      </w:pPr>
      <w:bookmarkStart w:id="50" w:name="_Toc8391549"/>
      <w:r>
        <w:rPr>
          <w:rFonts w:hint="eastAsia"/>
          <w:color w:val="auto"/>
        </w:rPr>
        <w:t>3.</w:t>
      </w:r>
      <w:r>
        <w:rPr>
          <w:color w:val="auto"/>
        </w:rPr>
        <w:t xml:space="preserve">9 </w:t>
      </w:r>
      <w:r>
        <w:rPr>
          <w:rFonts w:hint="eastAsia"/>
          <w:color w:val="auto"/>
        </w:rPr>
        <w:t>变更前后污染物变化情况</w:t>
      </w:r>
      <w:bookmarkEnd w:id="50"/>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项目变更前后产排污情况及其防治措施详见</w:t>
      </w:r>
      <w:r>
        <w:rPr>
          <w:rFonts w:ascii="Times New Roman" w:hAnsi="Times New Roman" w:eastAsia="宋体" w:cs="Times New Roman"/>
          <w:sz w:val="24"/>
          <w:szCs w:val="24"/>
        </w:rPr>
        <w:t>表3.9</w:t>
      </w:r>
      <w:r>
        <w:rPr>
          <w:rFonts w:hint="eastAsia" w:ascii="Times New Roman" w:hAnsi="Times New Roman" w:eastAsia="宋体" w:cs="Times New Roman"/>
          <w:sz w:val="24"/>
          <w:szCs w:val="24"/>
        </w:rPr>
        <w:t>-1。</w:t>
      </w:r>
    </w:p>
    <w:p>
      <w:pPr>
        <w:spacing w:line="48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表</w:t>
      </w:r>
      <w:r>
        <w:rPr>
          <w:rFonts w:ascii="Times New Roman" w:hAnsi="Times New Roman" w:eastAsia="黑体" w:cs="Times New Roman"/>
          <w:sz w:val="24"/>
          <w:szCs w:val="24"/>
        </w:rPr>
        <w:t xml:space="preserve">3.9-1            </w:t>
      </w:r>
      <w:r>
        <w:rPr>
          <w:rFonts w:hint="eastAsia" w:ascii="Times New Roman" w:hAnsi="Times New Roman" w:eastAsia="黑体" w:cs="Times New Roman"/>
          <w:sz w:val="24"/>
          <w:szCs w:val="24"/>
        </w:rPr>
        <w:t>项目变更前后产排污情况一览表</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730"/>
        <w:gridCol w:w="1608"/>
        <w:gridCol w:w="1346"/>
        <w:gridCol w:w="1346"/>
        <w:gridCol w:w="1346"/>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6" w:type="dxa"/>
            <w:gridSpan w:val="2"/>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类别</w:t>
            </w:r>
          </w:p>
        </w:tc>
        <w:tc>
          <w:tcPr>
            <w:tcW w:w="1608"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污染物</w:t>
            </w:r>
          </w:p>
        </w:tc>
        <w:tc>
          <w:tcPr>
            <w:tcW w:w="2692" w:type="dxa"/>
            <w:gridSpan w:val="2"/>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变更前</w:t>
            </w:r>
          </w:p>
        </w:tc>
        <w:tc>
          <w:tcPr>
            <w:tcW w:w="2690" w:type="dxa"/>
            <w:gridSpan w:val="2"/>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6" w:type="dxa"/>
            <w:gridSpan w:val="2"/>
            <w:vMerge w:val="continue"/>
            <w:vAlign w:val="center"/>
          </w:tcPr>
          <w:p>
            <w:pPr>
              <w:spacing w:line="240" w:lineRule="exact"/>
              <w:jc w:val="center"/>
              <w:rPr>
                <w:rFonts w:ascii="Times New Roman" w:hAnsi="Times New Roman" w:eastAsia="宋体" w:cs="Times New Roman"/>
                <w:szCs w:val="21"/>
              </w:rPr>
            </w:pPr>
          </w:p>
        </w:tc>
        <w:tc>
          <w:tcPr>
            <w:tcW w:w="1608" w:type="dxa"/>
            <w:vMerge w:val="continue"/>
            <w:vAlign w:val="center"/>
          </w:tcPr>
          <w:p>
            <w:pPr>
              <w:spacing w:line="240" w:lineRule="exact"/>
              <w:jc w:val="center"/>
              <w:rPr>
                <w:rFonts w:ascii="Times New Roman" w:hAnsi="Times New Roman" w:eastAsia="宋体" w:cs="Times New Roman"/>
                <w:szCs w:val="21"/>
              </w:rPr>
            </w:pP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产生量（t/a）</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排放量（t/a）</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产生量（t/a）</w:t>
            </w:r>
          </w:p>
        </w:tc>
        <w:tc>
          <w:tcPr>
            <w:tcW w:w="13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废气</w:t>
            </w:r>
          </w:p>
        </w:tc>
        <w:tc>
          <w:tcPr>
            <w:tcW w:w="730"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有组织</w:t>
            </w:r>
          </w:p>
        </w:tc>
        <w:tc>
          <w:tcPr>
            <w:tcW w:w="1608"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废气量</w:t>
            </w:r>
          </w:p>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(万m</w:t>
            </w:r>
            <w:r>
              <w:rPr>
                <w:rFonts w:ascii="Times New Roman" w:hAnsi="Times New Roman" w:eastAsia="宋体" w:cs="Times New Roman"/>
                <w:szCs w:val="21"/>
                <w:vertAlign w:val="superscript"/>
              </w:rPr>
              <w:t>3</w:t>
            </w:r>
            <w:r>
              <w:rPr>
                <w:rFonts w:ascii="Times New Roman" w:hAnsi="Times New Roman" w:eastAsia="宋体" w:cs="Times New Roman"/>
                <w:szCs w:val="21"/>
              </w:rPr>
              <w:t>/a)</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25134.88</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25134.88</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18946.02</w:t>
            </w:r>
          </w:p>
        </w:tc>
        <w:tc>
          <w:tcPr>
            <w:tcW w:w="13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18946.02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Merge w:val="continue"/>
            <w:vAlign w:val="center"/>
          </w:tcPr>
          <w:p>
            <w:pPr>
              <w:spacing w:line="240" w:lineRule="exact"/>
              <w:jc w:val="center"/>
              <w:rPr>
                <w:rFonts w:ascii="Times New Roman" w:hAnsi="Times New Roman" w:eastAsia="宋体" w:cs="Times New Roman"/>
                <w:szCs w:val="21"/>
              </w:rPr>
            </w:pPr>
          </w:p>
        </w:tc>
        <w:tc>
          <w:tcPr>
            <w:tcW w:w="730" w:type="dxa"/>
            <w:vMerge w:val="continue"/>
            <w:vAlign w:val="center"/>
          </w:tcPr>
          <w:p>
            <w:pPr>
              <w:spacing w:line="240" w:lineRule="exact"/>
              <w:jc w:val="center"/>
              <w:rPr>
                <w:rFonts w:ascii="Times New Roman" w:hAnsi="Times New Roman" w:eastAsia="宋体" w:cs="Times New Roman"/>
                <w:szCs w:val="21"/>
              </w:rPr>
            </w:pPr>
          </w:p>
        </w:tc>
        <w:tc>
          <w:tcPr>
            <w:tcW w:w="1608"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position w:val="2"/>
                <w:szCs w:val="21"/>
              </w:rPr>
              <w:t>SO</w:t>
            </w:r>
            <w:r>
              <w:rPr>
                <w:rFonts w:ascii="Times New Roman" w:hAnsi="Times New Roman" w:eastAsia="宋体" w:cs="Times New Roman"/>
                <w:szCs w:val="21"/>
                <w:vertAlign w:val="subscript"/>
              </w:rPr>
              <w:t>2</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2.16</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2.16</w:t>
            </w:r>
          </w:p>
        </w:tc>
        <w:tc>
          <w:tcPr>
            <w:tcW w:w="1346" w:type="dxa"/>
            <w:vAlign w:val="center"/>
          </w:tcPr>
          <w:p>
            <w:pPr>
              <w:widowControl/>
              <w:spacing w:line="240" w:lineRule="exact"/>
              <w:jc w:val="center"/>
              <w:rPr>
                <w:rFonts w:ascii="Times New Roman" w:hAnsi="Times New Roman" w:eastAsia="等线" w:cs="Times New Roman"/>
                <w:szCs w:val="21"/>
              </w:rPr>
            </w:pPr>
            <w:r>
              <w:rPr>
                <w:rFonts w:ascii="Times New Roman" w:hAnsi="Times New Roman" w:eastAsia="等线" w:cs="Times New Roman"/>
                <w:szCs w:val="21"/>
              </w:rPr>
              <w:t>2.08</w:t>
            </w:r>
          </w:p>
        </w:tc>
        <w:tc>
          <w:tcPr>
            <w:tcW w:w="1344" w:type="dxa"/>
            <w:vAlign w:val="center"/>
          </w:tcPr>
          <w:p>
            <w:pPr>
              <w:widowControl/>
              <w:spacing w:line="240" w:lineRule="exact"/>
              <w:jc w:val="center"/>
              <w:rPr>
                <w:rFonts w:ascii="Times New Roman" w:hAnsi="Times New Roman" w:eastAsia="等线" w:cs="Times New Roman"/>
                <w:szCs w:val="21"/>
              </w:rPr>
            </w:pPr>
            <w:r>
              <w:rPr>
                <w:rFonts w:ascii="Times New Roman" w:hAnsi="Times New Roman" w:eastAsia="等线" w:cs="Times New Roman"/>
                <w:szCs w:val="21"/>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Merge w:val="continue"/>
            <w:vAlign w:val="center"/>
          </w:tcPr>
          <w:p>
            <w:pPr>
              <w:spacing w:line="240" w:lineRule="exact"/>
              <w:jc w:val="center"/>
              <w:rPr>
                <w:rFonts w:ascii="Times New Roman" w:hAnsi="Times New Roman" w:eastAsia="宋体" w:cs="Times New Roman"/>
                <w:szCs w:val="21"/>
              </w:rPr>
            </w:pPr>
          </w:p>
        </w:tc>
        <w:tc>
          <w:tcPr>
            <w:tcW w:w="730" w:type="dxa"/>
            <w:vMerge w:val="continue"/>
            <w:vAlign w:val="center"/>
          </w:tcPr>
          <w:p>
            <w:pPr>
              <w:spacing w:line="240" w:lineRule="exact"/>
              <w:jc w:val="center"/>
              <w:rPr>
                <w:rFonts w:ascii="Times New Roman" w:hAnsi="Times New Roman" w:eastAsia="宋体" w:cs="Times New Roman"/>
                <w:szCs w:val="21"/>
              </w:rPr>
            </w:pPr>
          </w:p>
        </w:tc>
        <w:tc>
          <w:tcPr>
            <w:tcW w:w="1608"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NOx</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7.2</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7.2</w:t>
            </w:r>
          </w:p>
        </w:tc>
        <w:tc>
          <w:tcPr>
            <w:tcW w:w="1346"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5.1</w:t>
            </w:r>
          </w:p>
        </w:tc>
        <w:tc>
          <w:tcPr>
            <w:tcW w:w="1344"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Merge w:val="continue"/>
            <w:vAlign w:val="center"/>
          </w:tcPr>
          <w:p>
            <w:pPr>
              <w:spacing w:line="240" w:lineRule="exact"/>
              <w:jc w:val="center"/>
              <w:rPr>
                <w:rFonts w:ascii="Times New Roman" w:hAnsi="Times New Roman" w:eastAsia="宋体" w:cs="Times New Roman"/>
                <w:szCs w:val="21"/>
              </w:rPr>
            </w:pPr>
          </w:p>
        </w:tc>
        <w:tc>
          <w:tcPr>
            <w:tcW w:w="730" w:type="dxa"/>
            <w:vMerge w:val="continue"/>
            <w:vAlign w:val="center"/>
          </w:tcPr>
          <w:p>
            <w:pPr>
              <w:spacing w:line="240" w:lineRule="exact"/>
              <w:jc w:val="center"/>
              <w:rPr>
                <w:rFonts w:ascii="Times New Roman" w:hAnsi="Times New Roman" w:eastAsia="宋体" w:cs="Times New Roman"/>
                <w:szCs w:val="21"/>
              </w:rPr>
            </w:pPr>
          </w:p>
        </w:tc>
        <w:tc>
          <w:tcPr>
            <w:tcW w:w="1608"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烟尘</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2.8</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2.8</w:t>
            </w:r>
          </w:p>
        </w:tc>
        <w:tc>
          <w:tcPr>
            <w:tcW w:w="1346"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2</w:t>
            </w:r>
          </w:p>
        </w:tc>
        <w:tc>
          <w:tcPr>
            <w:tcW w:w="1344"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Merge w:val="continue"/>
            <w:vAlign w:val="center"/>
          </w:tcPr>
          <w:p>
            <w:pPr>
              <w:spacing w:line="240" w:lineRule="exact"/>
              <w:jc w:val="center"/>
              <w:rPr>
                <w:rFonts w:ascii="Times New Roman" w:hAnsi="Times New Roman" w:eastAsia="宋体" w:cs="Times New Roman"/>
                <w:szCs w:val="21"/>
              </w:rPr>
            </w:pPr>
          </w:p>
        </w:tc>
        <w:tc>
          <w:tcPr>
            <w:tcW w:w="730" w:type="dxa"/>
            <w:vMerge w:val="continue"/>
            <w:vAlign w:val="center"/>
          </w:tcPr>
          <w:p>
            <w:pPr>
              <w:spacing w:line="240" w:lineRule="exact"/>
              <w:jc w:val="center"/>
              <w:rPr>
                <w:rFonts w:ascii="Times New Roman" w:hAnsi="Times New Roman" w:eastAsia="宋体" w:cs="Times New Roman"/>
                <w:szCs w:val="21"/>
              </w:rPr>
            </w:pPr>
          </w:p>
        </w:tc>
        <w:tc>
          <w:tcPr>
            <w:tcW w:w="1608"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非甲烷总烃</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14.83</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1.4797</w:t>
            </w:r>
          </w:p>
        </w:tc>
        <w:tc>
          <w:tcPr>
            <w:tcW w:w="1346"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14.714</w:t>
            </w:r>
          </w:p>
        </w:tc>
        <w:tc>
          <w:tcPr>
            <w:tcW w:w="1344"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1.46924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Merge w:val="continue"/>
            <w:vAlign w:val="center"/>
          </w:tcPr>
          <w:p>
            <w:pPr>
              <w:spacing w:line="240" w:lineRule="exact"/>
              <w:jc w:val="center"/>
              <w:rPr>
                <w:rFonts w:ascii="Times New Roman" w:hAnsi="Times New Roman" w:eastAsia="宋体" w:cs="Times New Roman"/>
                <w:szCs w:val="21"/>
              </w:rPr>
            </w:pPr>
          </w:p>
        </w:tc>
        <w:tc>
          <w:tcPr>
            <w:tcW w:w="730" w:type="dxa"/>
            <w:vMerge w:val="continue"/>
            <w:vAlign w:val="center"/>
          </w:tcPr>
          <w:p>
            <w:pPr>
              <w:spacing w:line="240" w:lineRule="exact"/>
              <w:jc w:val="center"/>
              <w:rPr>
                <w:rFonts w:ascii="Times New Roman" w:hAnsi="Times New Roman" w:eastAsia="宋体" w:cs="Times New Roman"/>
                <w:szCs w:val="21"/>
              </w:rPr>
            </w:pPr>
          </w:p>
        </w:tc>
        <w:tc>
          <w:tcPr>
            <w:tcW w:w="1608"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NH</w:t>
            </w:r>
            <w:r>
              <w:rPr>
                <w:rFonts w:ascii="Times New Roman" w:hAnsi="Times New Roman" w:eastAsia="宋体" w:cs="Times New Roman"/>
                <w:szCs w:val="21"/>
                <w:vertAlign w:val="subscript"/>
              </w:rPr>
              <w:t>3</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0.52</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0.0468</w:t>
            </w:r>
          </w:p>
        </w:tc>
        <w:tc>
          <w:tcPr>
            <w:tcW w:w="1346"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0.45</w:t>
            </w:r>
          </w:p>
        </w:tc>
        <w:tc>
          <w:tcPr>
            <w:tcW w:w="1344"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0.0408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Merge w:val="continue"/>
            <w:vAlign w:val="center"/>
          </w:tcPr>
          <w:p>
            <w:pPr>
              <w:spacing w:line="240" w:lineRule="exact"/>
              <w:jc w:val="center"/>
              <w:rPr>
                <w:rFonts w:ascii="Times New Roman" w:hAnsi="Times New Roman" w:eastAsia="宋体" w:cs="Times New Roman"/>
                <w:szCs w:val="21"/>
              </w:rPr>
            </w:pPr>
          </w:p>
        </w:tc>
        <w:tc>
          <w:tcPr>
            <w:tcW w:w="730" w:type="dxa"/>
            <w:vMerge w:val="continue"/>
            <w:vAlign w:val="center"/>
          </w:tcPr>
          <w:p>
            <w:pPr>
              <w:spacing w:line="240" w:lineRule="exact"/>
              <w:jc w:val="center"/>
              <w:rPr>
                <w:rFonts w:ascii="Times New Roman" w:hAnsi="Times New Roman" w:eastAsia="宋体" w:cs="Times New Roman"/>
                <w:szCs w:val="21"/>
              </w:rPr>
            </w:pPr>
          </w:p>
        </w:tc>
        <w:tc>
          <w:tcPr>
            <w:tcW w:w="1608"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H</w:t>
            </w:r>
            <w:r>
              <w:rPr>
                <w:rFonts w:ascii="Times New Roman" w:hAnsi="Times New Roman" w:eastAsia="宋体" w:cs="Times New Roman"/>
                <w:szCs w:val="21"/>
                <w:vertAlign w:val="subscript"/>
              </w:rPr>
              <w:t>2</w:t>
            </w:r>
            <w:r>
              <w:rPr>
                <w:rFonts w:ascii="Times New Roman" w:hAnsi="Times New Roman" w:eastAsia="宋体" w:cs="Times New Roman"/>
                <w:szCs w:val="21"/>
              </w:rPr>
              <w:t>S</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0.024</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0.00216</w:t>
            </w:r>
          </w:p>
        </w:tc>
        <w:tc>
          <w:tcPr>
            <w:tcW w:w="1346"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0.021</w:t>
            </w:r>
          </w:p>
        </w:tc>
        <w:tc>
          <w:tcPr>
            <w:tcW w:w="1344"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0.00188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Merge w:val="continue"/>
            <w:vAlign w:val="center"/>
          </w:tcPr>
          <w:p>
            <w:pPr>
              <w:spacing w:line="240" w:lineRule="exact"/>
              <w:jc w:val="center"/>
              <w:rPr>
                <w:rFonts w:ascii="Times New Roman" w:hAnsi="Times New Roman" w:eastAsia="宋体" w:cs="Times New Roman"/>
                <w:szCs w:val="21"/>
              </w:rPr>
            </w:pPr>
          </w:p>
        </w:tc>
        <w:tc>
          <w:tcPr>
            <w:tcW w:w="730"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无组织</w:t>
            </w:r>
          </w:p>
        </w:tc>
        <w:tc>
          <w:tcPr>
            <w:tcW w:w="1608"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非甲烷总烃</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kern w:val="0"/>
                <w:szCs w:val="21"/>
              </w:rPr>
              <w:t>1.3851</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kern w:val="0"/>
                <w:szCs w:val="21"/>
              </w:rPr>
              <w:t>1.3851</w:t>
            </w:r>
          </w:p>
        </w:tc>
        <w:tc>
          <w:tcPr>
            <w:tcW w:w="1346"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1.3747</w:t>
            </w:r>
          </w:p>
        </w:tc>
        <w:tc>
          <w:tcPr>
            <w:tcW w:w="1344"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1.3747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Merge w:val="continue"/>
            <w:vAlign w:val="center"/>
          </w:tcPr>
          <w:p>
            <w:pPr>
              <w:spacing w:line="240" w:lineRule="exact"/>
              <w:jc w:val="center"/>
              <w:rPr>
                <w:rFonts w:ascii="Times New Roman" w:hAnsi="Times New Roman" w:eastAsia="宋体" w:cs="Times New Roman"/>
                <w:szCs w:val="21"/>
              </w:rPr>
            </w:pPr>
          </w:p>
        </w:tc>
        <w:tc>
          <w:tcPr>
            <w:tcW w:w="730" w:type="dxa"/>
            <w:vMerge w:val="continue"/>
            <w:vAlign w:val="center"/>
          </w:tcPr>
          <w:p>
            <w:pPr>
              <w:spacing w:line="240" w:lineRule="exact"/>
              <w:jc w:val="center"/>
              <w:rPr>
                <w:rFonts w:ascii="Times New Roman" w:hAnsi="Times New Roman" w:eastAsia="宋体" w:cs="Times New Roman"/>
                <w:szCs w:val="21"/>
              </w:rPr>
            </w:pPr>
          </w:p>
        </w:tc>
        <w:tc>
          <w:tcPr>
            <w:tcW w:w="1608"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position w:val="2"/>
                <w:szCs w:val="21"/>
              </w:rPr>
              <w:t>NH</w:t>
            </w:r>
            <w:r>
              <w:rPr>
                <w:rFonts w:ascii="Times New Roman" w:hAnsi="Times New Roman" w:eastAsia="宋体" w:cs="Times New Roman"/>
                <w:szCs w:val="21"/>
                <w:vertAlign w:val="subscript"/>
              </w:rPr>
              <w:t>3</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0.052</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0.052</w:t>
            </w:r>
          </w:p>
        </w:tc>
        <w:tc>
          <w:tcPr>
            <w:tcW w:w="1346"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0.045</w:t>
            </w:r>
          </w:p>
        </w:tc>
        <w:tc>
          <w:tcPr>
            <w:tcW w:w="1344"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Merge w:val="continue"/>
            <w:vAlign w:val="center"/>
          </w:tcPr>
          <w:p>
            <w:pPr>
              <w:spacing w:line="240" w:lineRule="exact"/>
              <w:jc w:val="center"/>
              <w:rPr>
                <w:rFonts w:ascii="Times New Roman" w:hAnsi="Times New Roman" w:eastAsia="宋体" w:cs="Times New Roman"/>
                <w:szCs w:val="21"/>
              </w:rPr>
            </w:pPr>
          </w:p>
        </w:tc>
        <w:tc>
          <w:tcPr>
            <w:tcW w:w="730" w:type="dxa"/>
            <w:vMerge w:val="continue"/>
            <w:vAlign w:val="center"/>
          </w:tcPr>
          <w:p>
            <w:pPr>
              <w:spacing w:line="240" w:lineRule="exact"/>
              <w:jc w:val="center"/>
              <w:rPr>
                <w:rFonts w:ascii="Times New Roman" w:hAnsi="Times New Roman" w:eastAsia="宋体" w:cs="Times New Roman"/>
                <w:szCs w:val="21"/>
              </w:rPr>
            </w:pPr>
          </w:p>
        </w:tc>
        <w:tc>
          <w:tcPr>
            <w:tcW w:w="1608"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position w:val="2"/>
                <w:szCs w:val="21"/>
              </w:rPr>
              <w:t>H</w:t>
            </w:r>
            <w:r>
              <w:rPr>
                <w:rFonts w:ascii="Times New Roman" w:hAnsi="Times New Roman" w:eastAsia="宋体" w:cs="Times New Roman"/>
                <w:szCs w:val="21"/>
                <w:vertAlign w:val="subscript"/>
              </w:rPr>
              <w:t>2</w:t>
            </w:r>
            <w:r>
              <w:rPr>
                <w:rFonts w:ascii="Times New Roman" w:hAnsi="Times New Roman" w:eastAsia="宋体" w:cs="Times New Roman"/>
                <w:position w:val="2"/>
                <w:szCs w:val="21"/>
              </w:rPr>
              <w:t>S</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0.0024</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0.0024</w:t>
            </w:r>
          </w:p>
        </w:tc>
        <w:tc>
          <w:tcPr>
            <w:tcW w:w="1346"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0.0021</w:t>
            </w:r>
          </w:p>
        </w:tc>
        <w:tc>
          <w:tcPr>
            <w:tcW w:w="1344"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6" w:type="dxa"/>
            <w:gridSpan w:val="2"/>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废水</w:t>
            </w:r>
          </w:p>
        </w:tc>
        <w:tc>
          <w:tcPr>
            <w:tcW w:w="1608"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废水量（万m</w:t>
            </w:r>
            <w:r>
              <w:rPr>
                <w:rFonts w:ascii="Times New Roman" w:hAnsi="Times New Roman" w:eastAsia="宋体" w:cs="Times New Roman"/>
                <w:szCs w:val="21"/>
                <w:vertAlign w:val="superscript"/>
              </w:rPr>
              <w:t>3</w:t>
            </w:r>
            <w:r>
              <w:rPr>
                <w:rFonts w:ascii="Times New Roman" w:hAnsi="Times New Roman" w:eastAsia="宋体" w:cs="Times New Roman"/>
                <w:szCs w:val="21"/>
              </w:rPr>
              <w:t>/a）</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10.4676</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10.4676</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10.0067</w:t>
            </w:r>
          </w:p>
        </w:tc>
        <w:tc>
          <w:tcPr>
            <w:tcW w:w="13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6" w:type="dxa"/>
            <w:gridSpan w:val="2"/>
            <w:vMerge w:val="continue"/>
            <w:vAlign w:val="center"/>
          </w:tcPr>
          <w:p>
            <w:pPr>
              <w:spacing w:line="240" w:lineRule="exact"/>
              <w:jc w:val="center"/>
              <w:rPr>
                <w:rFonts w:ascii="Times New Roman" w:hAnsi="Times New Roman" w:eastAsia="宋体" w:cs="Times New Roman"/>
                <w:szCs w:val="21"/>
              </w:rPr>
            </w:pPr>
          </w:p>
        </w:tc>
        <w:tc>
          <w:tcPr>
            <w:tcW w:w="1608"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COD</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318.54</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8.56</w:t>
            </w:r>
          </w:p>
        </w:tc>
        <w:tc>
          <w:tcPr>
            <w:tcW w:w="134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318.54</w:t>
            </w:r>
          </w:p>
        </w:tc>
        <w:tc>
          <w:tcPr>
            <w:tcW w:w="1344"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6" w:type="dxa"/>
            <w:gridSpan w:val="2"/>
            <w:vMerge w:val="continue"/>
            <w:vAlign w:val="center"/>
          </w:tcPr>
          <w:p>
            <w:pPr>
              <w:spacing w:line="240" w:lineRule="exact"/>
              <w:jc w:val="center"/>
              <w:rPr>
                <w:rFonts w:ascii="Times New Roman" w:hAnsi="Times New Roman" w:eastAsia="宋体" w:cs="Times New Roman"/>
                <w:szCs w:val="21"/>
              </w:rPr>
            </w:pPr>
          </w:p>
        </w:tc>
        <w:tc>
          <w:tcPr>
            <w:tcW w:w="1608"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BOD</w:t>
            </w:r>
            <w:r>
              <w:rPr>
                <w:rFonts w:ascii="Times New Roman" w:hAnsi="Times New Roman" w:eastAsia="宋体" w:cs="Times New Roman"/>
                <w:szCs w:val="21"/>
                <w:vertAlign w:val="subscript"/>
              </w:rPr>
              <w:t>5</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120.99</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1.15</w:t>
            </w:r>
          </w:p>
        </w:tc>
        <w:tc>
          <w:tcPr>
            <w:tcW w:w="134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120.99</w:t>
            </w:r>
          </w:p>
        </w:tc>
        <w:tc>
          <w:tcPr>
            <w:tcW w:w="1344"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6" w:type="dxa"/>
            <w:gridSpan w:val="2"/>
            <w:vMerge w:val="continue"/>
            <w:vAlign w:val="center"/>
          </w:tcPr>
          <w:p>
            <w:pPr>
              <w:spacing w:line="240" w:lineRule="exact"/>
              <w:jc w:val="center"/>
              <w:rPr>
                <w:rFonts w:ascii="Times New Roman" w:hAnsi="Times New Roman" w:eastAsia="宋体" w:cs="Times New Roman"/>
                <w:szCs w:val="21"/>
              </w:rPr>
            </w:pPr>
          </w:p>
        </w:tc>
        <w:tc>
          <w:tcPr>
            <w:tcW w:w="1608"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石油类</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36.1</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0.27</w:t>
            </w:r>
          </w:p>
        </w:tc>
        <w:tc>
          <w:tcPr>
            <w:tcW w:w="134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36.10</w:t>
            </w:r>
          </w:p>
        </w:tc>
        <w:tc>
          <w:tcPr>
            <w:tcW w:w="1344"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6" w:type="dxa"/>
            <w:gridSpan w:val="2"/>
            <w:vMerge w:val="continue"/>
            <w:vAlign w:val="center"/>
          </w:tcPr>
          <w:p>
            <w:pPr>
              <w:spacing w:line="240" w:lineRule="exact"/>
              <w:jc w:val="center"/>
              <w:rPr>
                <w:rFonts w:ascii="Times New Roman" w:hAnsi="Times New Roman" w:eastAsia="宋体" w:cs="Times New Roman"/>
                <w:szCs w:val="21"/>
              </w:rPr>
            </w:pPr>
          </w:p>
        </w:tc>
        <w:tc>
          <w:tcPr>
            <w:tcW w:w="1608"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硫化物</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0.08</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0.01</w:t>
            </w:r>
          </w:p>
        </w:tc>
        <w:tc>
          <w:tcPr>
            <w:tcW w:w="134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0.08</w:t>
            </w:r>
          </w:p>
        </w:tc>
        <w:tc>
          <w:tcPr>
            <w:tcW w:w="1344"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6" w:type="dxa"/>
            <w:gridSpan w:val="2"/>
            <w:vMerge w:val="continue"/>
            <w:vAlign w:val="center"/>
          </w:tcPr>
          <w:p>
            <w:pPr>
              <w:spacing w:line="240" w:lineRule="exact"/>
              <w:jc w:val="center"/>
              <w:rPr>
                <w:rFonts w:ascii="Times New Roman" w:hAnsi="Times New Roman" w:eastAsia="宋体" w:cs="Times New Roman"/>
                <w:szCs w:val="21"/>
              </w:rPr>
            </w:pPr>
          </w:p>
        </w:tc>
        <w:tc>
          <w:tcPr>
            <w:tcW w:w="1608"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氨氮</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0.71</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0.4</w:t>
            </w:r>
          </w:p>
        </w:tc>
        <w:tc>
          <w:tcPr>
            <w:tcW w:w="134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0.71</w:t>
            </w:r>
          </w:p>
        </w:tc>
        <w:tc>
          <w:tcPr>
            <w:tcW w:w="1344"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6" w:type="dxa"/>
            <w:gridSpan w:val="2"/>
            <w:vMerge w:val="continue"/>
            <w:vAlign w:val="center"/>
          </w:tcPr>
          <w:p>
            <w:pPr>
              <w:spacing w:line="240" w:lineRule="exact"/>
              <w:jc w:val="center"/>
              <w:rPr>
                <w:rFonts w:ascii="Times New Roman" w:hAnsi="Times New Roman" w:eastAsia="宋体" w:cs="Times New Roman"/>
                <w:szCs w:val="21"/>
              </w:rPr>
            </w:pPr>
          </w:p>
        </w:tc>
        <w:tc>
          <w:tcPr>
            <w:tcW w:w="1608"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SS</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2.77</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2.77</w:t>
            </w:r>
          </w:p>
        </w:tc>
        <w:tc>
          <w:tcPr>
            <w:tcW w:w="134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2.77</w:t>
            </w:r>
          </w:p>
        </w:tc>
        <w:tc>
          <w:tcPr>
            <w:tcW w:w="1344"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固废</w:t>
            </w:r>
          </w:p>
        </w:tc>
        <w:tc>
          <w:tcPr>
            <w:tcW w:w="730"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危废</w:t>
            </w:r>
          </w:p>
        </w:tc>
        <w:tc>
          <w:tcPr>
            <w:tcW w:w="1608"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含油污泥</w:t>
            </w:r>
          </w:p>
        </w:tc>
        <w:tc>
          <w:tcPr>
            <w:tcW w:w="134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17.2</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w:t>
            </w:r>
          </w:p>
        </w:tc>
        <w:tc>
          <w:tcPr>
            <w:tcW w:w="134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17.2</w:t>
            </w:r>
          </w:p>
        </w:tc>
        <w:tc>
          <w:tcPr>
            <w:tcW w:w="13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Merge w:val="continue"/>
            <w:vAlign w:val="center"/>
          </w:tcPr>
          <w:p>
            <w:pPr>
              <w:spacing w:line="240" w:lineRule="exact"/>
              <w:jc w:val="center"/>
              <w:rPr>
                <w:rFonts w:ascii="Times New Roman" w:hAnsi="Times New Roman" w:eastAsia="宋体" w:cs="Times New Roman"/>
                <w:szCs w:val="21"/>
              </w:rPr>
            </w:pPr>
          </w:p>
        </w:tc>
        <w:tc>
          <w:tcPr>
            <w:tcW w:w="730" w:type="dxa"/>
            <w:vMerge w:val="continue"/>
            <w:vAlign w:val="center"/>
          </w:tcPr>
          <w:p>
            <w:pPr>
              <w:spacing w:line="240" w:lineRule="exact"/>
              <w:jc w:val="center"/>
              <w:rPr>
                <w:rFonts w:ascii="Times New Roman" w:hAnsi="Times New Roman" w:eastAsia="宋体" w:cs="Times New Roman"/>
                <w:szCs w:val="21"/>
              </w:rPr>
            </w:pPr>
          </w:p>
        </w:tc>
        <w:tc>
          <w:tcPr>
            <w:tcW w:w="1608"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含油残渣</w:t>
            </w:r>
          </w:p>
        </w:tc>
        <w:tc>
          <w:tcPr>
            <w:tcW w:w="134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4984</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w:t>
            </w:r>
          </w:p>
        </w:tc>
        <w:tc>
          <w:tcPr>
            <w:tcW w:w="134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4984</w:t>
            </w:r>
          </w:p>
        </w:tc>
        <w:tc>
          <w:tcPr>
            <w:tcW w:w="13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Merge w:val="continue"/>
            <w:vAlign w:val="center"/>
          </w:tcPr>
          <w:p>
            <w:pPr>
              <w:spacing w:line="240" w:lineRule="exact"/>
              <w:jc w:val="center"/>
              <w:rPr>
                <w:rFonts w:ascii="Times New Roman" w:hAnsi="Times New Roman" w:eastAsia="宋体" w:cs="Times New Roman"/>
                <w:szCs w:val="21"/>
              </w:rPr>
            </w:pPr>
          </w:p>
        </w:tc>
        <w:tc>
          <w:tcPr>
            <w:tcW w:w="730" w:type="dxa"/>
            <w:vMerge w:val="continue"/>
            <w:vAlign w:val="center"/>
          </w:tcPr>
          <w:p>
            <w:pPr>
              <w:spacing w:line="240" w:lineRule="exact"/>
              <w:jc w:val="center"/>
              <w:rPr>
                <w:rFonts w:ascii="Times New Roman" w:hAnsi="Times New Roman" w:eastAsia="宋体" w:cs="Times New Roman"/>
                <w:szCs w:val="21"/>
              </w:rPr>
            </w:pPr>
          </w:p>
        </w:tc>
        <w:tc>
          <w:tcPr>
            <w:tcW w:w="1608"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废过滤网</w:t>
            </w:r>
          </w:p>
        </w:tc>
        <w:tc>
          <w:tcPr>
            <w:tcW w:w="134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0.3</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w:t>
            </w:r>
          </w:p>
        </w:tc>
        <w:tc>
          <w:tcPr>
            <w:tcW w:w="1346" w:type="dxa"/>
            <w:vAlign w:val="center"/>
          </w:tcPr>
          <w:p>
            <w:pPr>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Merge w:val="continue"/>
            <w:vAlign w:val="center"/>
          </w:tcPr>
          <w:p>
            <w:pPr>
              <w:spacing w:line="240" w:lineRule="exact"/>
              <w:jc w:val="center"/>
              <w:rPr>
                <w:rFonts w:ascii="Times New Roman" w:hAnsi="Times New Roman" w:eastAsia="宋体" w:cs="Times New Roman"/>
                <w:szCs w:val="21"/>
              </w:rPr>
            </w:pPr>
          </w:p>
        </w:tc>
        <w:tc>
          <w:tcPr>
            <w:tcW w:w="730" w:type="dxa"/>
            <w:vMerge w:val="continue"/>
            <w:vAlign w:val="center"/>
          </w:tcPr>
          <w:p>
            <w:pPr>
              <w:spacing w:line="240" w:lineRule="exact"/>
              <w:jc w:val="center"/>
              <w:rPr>
                <w:rFonts w:ascii="Times New Roman" w:hAnsi="Times New Roman" w:eastAsia="宋体" w:cs="Times New Roman"/>
                <w:szCs w:val="21"/>
              </w:rPr>
            </w:pPr>
          </w:p>
        </w:tc>
        <w:tc>
          <w:tcPr>
            <w:tcW w:w="1608"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废滤布和含油抹布</w:t>
            </w:r>
          </w:p>
        </w:tc>
        <w:tc>
          <w:tcPr>
            <w:tcW w:w="134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1.5</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w:t>
            </w:r>
          </w:p>
        </w:tc>
        <w:tc>
          <w:tcPr>
            <w:tcW w:w="1346"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szCs w:val="21"/>
              </w:rPr>
              <w:t>1.5</w:t>
            </w:r>
          </w:p>
        </w:tc>
        <w:tc>
          <w:tcPr>
            <w:tcW w:w="13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Merge w:val="continue"/>
            <w:vAlign w:val="center"/>
          </w:tcPr>
          <w:p>
            <w:pPr>
              <w:spacing w:line="240" w:lineRule="exact"/>
              <w:jc w:val="center"/>
              <w:rPr>
                <w:rFonts w:ascii="Times New Roman" w:hAnsi="Times New Roman" w:eastAsia="宋体" w:cs="Times New Roman"/>
                <w:szCs w:val="21"/>
              </w:rPr>
            </w:pPr>
          </w:p>
        </w:tc>
        <w:tc>
          <w:tcPr>
            <w:tcW w:w="730" w:type="dxa"/>
            <w:vMerge w:val="continue"/>
            <w:vAlign w:val="center"/>
          </w:tcPr>
          <w:p>
            <w:pPr>
              <w:spacing w:line="240" w:lineRule="exact"/>
              <w:jc w:val="center"/>
              <w:rPr>
                <w:rFonts w:ascii="Times New Roman" w:hAnsi="Times New Roman" w:eastAsia="宋体" w:cs="Times New Roman"/>
                <w:szCs w:val="21"/>
              </w:rPr>
            </w:pPr>
          </w:p>
        </w:tc>
        <w:tc>
          <w:tcPr>
            <w:tcW w:w="1608"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废活性炭</w:t>
            </w:r>
          </w:p>
        </w:tc>
        <w:tc>
          <w:tcPr>
            <w:tcW w:w="134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0.8</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w:t>
            </w:r>
          </w:p>
        </w:tc>
        <w:tc>
          <w:tcPr>
            <w:tcW w:w="1346" w:type="dxa"/>
            <w:vAlign w:val="center"/>
          </w:tcPr>
          <w:p>
            <w:pPr>
              <w:spacing w:line="240" w:lineRule="exact"/>
              <w:jc w:val="center"/>
              <w:rPr>
                <w:rFonts w:ascii="Times New Roman" w:hAnsi="Times New Roman" w:eastAsia="宋体" w:cs="Times New Roman"/>
                <w:kern w:val="0"/>
                <w:szCs w:val="21"/>
                <w:lang w:eastAsia="en-US"/>
              </w:rPr>
            </w:pPr>
            <w:r>
              <w:rPr>
                <w:rFonts w:hint="eastAsia" w:ascii="Times New Roman" w:hAnsi="Times New Roman" w:eastAsia="宋体" w:cs="Times New Roman"/>
                <w:szCs w:val="21"/>
              </w:rPr>
              <w:t>0.8</w:t>
            </w:r>
          </w:p>
        </w:tc>
        <w:tc>
          <w:tcPr>
            <w:tcW w:w="1344"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Merge w:val="continue"/>
            <w:vAlign w:val="center"/>
          </w:tcPr>
          <w:p>
            <w:pPr>
              <w:spacing w:line="240" w:lineRule="exact"/>
              <w:jc w:val="center"/>
              <w:rPr>
                <w:rFonts w:ascii="Times New Roman" w:hAnsi="Times New Roman" w:eastAsia="宋体" w:cs="Times New Roman"/>
                <w:szCs w:val="21"/>
              </w:rPr>
            </w:pPr>
          </w:p>
        </w:tc>
        <w:tc>
          <w:tcPr>
            <w:tcW w:w="2338" w:type="dxa"/>
            <w:gridSpan w:val="2"/>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生活垃圾</w:t>
            </w:r>
          </w:p>
        </w:tc>
        <w:tc>
          <w:tcPr>
            <w:tcW w:w="134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26.4</w:t>
            </w:r>
          </w:p>
        </w:tc>
        <w:tc>
          <w:tcPr>
            <w:tcW w:w="1346" w:type="dxa"/>
            <w:vAlign w:val="center"/>
          </w:tcPr>
          <w:p>
            <w:pPr>
              <w:pStyle w:val="52"/>
              <w:spacing w:line="240" w:lineRule="exact"/>
              <w:ind w:left="0"/>
              <w:jc w:val="center"/>
              <w:rPr>
                <w:rFonts w:ascii="Times New Roman" w:hAnsi="Times New Roman" w:eastAsia="宋体" w:cs="Times New Roman"/>
                <w:w w:val="99"/>
                <w:szCs w:val="21"/>
              </w:rPr>
            </w:pPr>
            <w:r>
              <w:rPr>
                <w:rFonts w:ascii="Times New Roman" w:hAnsi="Times New Roman" w:eastAsia="宋体" w:cs="Times New Roman"/>
                <w:w w:val="99"/>
                <w:szCs w:val="21"/>
              </w:rPr>
              <w:t>0</w:t>
            </w:r>
          </w:p>
        </w:tc>
        <w:tc>
          <w:tcPr>
            <w:tcW w:w="134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26.4</w:t>
            </w:r>
          </w:p>
        </w:tc>
        <w:tc>
          <w:tcPr>
            <w:tcW w:w="1344"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r>
    </w:tbl>
    <w:p>
      <w:pPr>
        <w:pStyle w:val="39"/>
        <w:rPr>
          <w:color w:val="auto"/>
        </w:rPr>
      </w:pPr>
      <w:bookmarkStart w:id="51" w:name="_Toc8391550"/>
      <w:r>
        <w:rPr>
          <w:color w:val="auto"/>
        </w:rPr>
        <w:t>3</w:t>
      </w:r>
      <w:r>
        <w:rPr>
          <w:rFonts w:hint="eastAsia"/>
          <w:color w:val="auto"/>
        </w:rPr>
        <w:t>.</w:t>
      </w:r>
      <w:r>
        <w:rPr>
          <w:color w:val="auto"/>
        </w:rPr>
        <w:t>10</w:t>
      </w:r>
      <w:r>
        <w:rPr>
          <w:rFonts w:hint="eastAsia"/>
          <w:color w:val="auto"/>
        </w:rPr>
        <w:t xml:space="preserve"> 污染物排放量变化“三本账</w:t>
      </w:r>
      <w:r>
        <w:rPr>
          <w:color w:val="auto"/>
        </w:rPr>
        <w:t>”</w:t>
      </w:r>
      <w:bookmarkEnd w:id="51"/>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变更前全厂主要污染物排放“三本账”见表</w:t>
      </w:r>
      <w:r>
        <w:rPr>
          <w:rFonts w:ascii="Times New Roman" w:hAnsi="Times New Roman" w:eastAsia="宋体" w:cs="Times New Roman"/>
          <w:sz w:val="24"/>
          <w:szCs w:val="24"/>
        </w:rPr>
        <w:t>3.10-1</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表</w:t>
      </w:r>
      <w:r>
        <w:rPr>
          <w:rFonts w:ascii="Times New Roman" w:hAnsi="Times New Roman" w:eastAsia="黑体" w:cs="Times New Roman"/>
          <w:sz w:val="24"/>
          <w:szCs w:val="24"/>
        </w:rPr>
        <w:t>3.10</w:t>
      </w:r>
      <w:r>
        <w:rPr>
          <w:rFonts w:hint="eastAsia" w:ascii="Times New Roman" w:hAnsi="Times New Roman" w:eastAsia="黑体" w:cs="Times New Roman"/>
          <w:sz w:val="24"/>
          <w:szCs w:val="24"/>
        </w:rPr>
        <w:t>-1          项目变更前全厂主要污染物“三本账”一览表</w:t>
      </w:r>
    </w:p>
    <w:tbl>
      <w:tblPr>
        <w:tblStyle w:val="19"/>
        <w:tblW w:w="82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833"/>
        <w:gridCol w:w="2126"/>
        <w:gridCol w:w="1222"/>
        <w:gridCol w:w="1961"/>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65" w:type="dxa"/>
            <w:gridSpan w:val="2"/>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污染源</w:t>
            </w: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污染物</w:t>
            </w:r>
          </w:p>
        </w:tc>
        <w:tc>
          <w:tcPr>
            <w:tcW w:w="122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产生量</w:t>
            </w:r>
          </w:p>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（t/a）</w:t>
            </w:r>
          </w:p>
        </w:tc>
        <w:tc>
          <w:tcPr>
            <w:tcW w:w="1961"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削减（处置）量</w:t>
            </w:r>
          </w:p>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（t/a）</w:t>
            </w:r>
          </w:p>
        </w:tc>
        <w:tc>
          <w:tcPr>
            <w:tcW w:w="142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排放量</w:t>
            </w:r>
          </w:p>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65" w:type="dxa"/>
            <w:gridSpan w:val="2"/>
            <w:vMerge w:val="restart"/>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废水</w:t>
            </w: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废水（万m</w:t>
            </w:r>
            <w:r>
              <w:rPr>
                <w:rFonts w:ascii="Times New Roman" w:hAnsi="Times New Roman" w:eastAsia="宋体" w:cs="Times New Roman"/>
                <w:szCs w:val="21"/>
                <w:vertAlign w:val="superscript"/>
              </w:rPr>
              <w:t>3</w:t>
            </w:r>
            <w:r>
              <w:rPr>
                <w:rFonts w:ascii="Times New Roman" w:hAnsi="Times New Roman" w:eastAsia="宋体" w:cs="Times New Roman"/>
                <w:szCs w:val="21"/>
              </w:rPr>
              <w:t>/a）</w:t>
            </w:r>
          </w:p>
        </w:tc>
        <w:tc>
          <w:tcPr>
            <w:tcW w:w="12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10.4676</w:t>
            </w:r>
          </w:p>
        </w:tc>
        <w:tc>
          <w:tcPr>
            <w:tcW w:w="196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w:t>
            </w:r>
          </w:p>
        </w:tc>
        <w:tc>
          <w:tcPr>
            <w:tcW w:w="14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10.4676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65" w:type="dxa"/>
            <w:gridSpan w:val="2"/>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COD</w:t>
            </w:r>
          </w:p>
        </w:tc>
        <w:tc>
          <w:tcPr>
            <w:tcW w:w="12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318.54</w:t>
            </w:r>
          </w:p>
        </w:tc>
        <w:tc>
          <w:tcPr>
            <w:tcW w:w="196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309.98</w:t>
            </w:r>
          </w:p>
        </w:tc>
        <w:tc>
          <w:tcPr>
            <w:tcW w:w="14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8.56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65" w:type="dxa"/>
            <w:gridSpan w:val="2"/>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BOD</w:t>
            </w:r>
            <w:r>
              <w:rPr>
                <w:rFonts w:ascii="Times New Roman" w:hAnsi="Times New Roman" w:eastAsia="宋体" w:cs="Times New Roman"/>
                <w:szCs w:val="21"/>
                <w:vertAlign w:val="subscript"/>
              </w:rPr>
              <w:t>5</w:t>
            </w:r>
          </w:p>
        </w:tc>
        <w:tc>
          <w:tcPr>
            <w:tcW w:w="12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120.99</w:t>
            </w:r>
          </w:p>
        </w:tc>
        <w:tc>
          <w:tcPr>
            <w:tcW w:w="196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119.84</w:t>
            </w:r>
          </w:p>
        </w:tc>
        <w:tc>
          <w:tcPr>
            <w:tcW w:w="14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65" w:type="dxa"/>
            <w:gridSpan w:val="2"/>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石油类</w:t>
            </w:r>
          </w:p>
        </w:tc>
        <w:tc>
          <w:tcPr>
            <w:tcW w:w="12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36.1</w:t>
            </w:r>
          </w:p>
        </w:tc>
        <w:tc>
          <w:tcPr>
            <w:tcW w:w="196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35.83</w:t>
            </w:r>
          </w:p>
        </w:tc>
        <w:tc>
          <w:tcPr>
            <w:tcW w:w="14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65" w:type="dxa"/>
            <w:gridSpan w:val="2"/>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硫化物</w:t>
            </w:r>
          </w:p>
        </w:tc>
        <w:tc>
          <w:tcPr>
            <w:tcW w:w="12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0.08</w:t>
            </w:r>
          </w:p>
        </w:tc>
        <w:tc>
          <w:tcPr>
            <w:tcW w:w="196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0.07</w:t>
            </w:r>
          </w:p>
        </w:tc>
        <w:tc>
          <w:tcPr>
            <w:tcW w:w="14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65" w:type="dxa"/>
            <w:gridSpan w:val="2"/>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氨氮</w:t>
            </w:r>
          </w:p>
        </w:tc>
        <w:tc>
          <w:tcPr>
            <w:tcW w:w="12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0.71</w:t>
            </w:r>
          </w:p>
        </w:tc>
        <w:tc>
          <w:tcPr>
            <w:tcW w:w="196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0.31</w:t>
            </w:r>
          </w:p>
        </w:tc>
        <w:tc>
          <w:tcPr>
            <w:tcW w:w="14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65" w:type="dxa"/>
            <w:gridSpan w:val="2"/>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SS</w:t>
            </w:r>
          </w:p>
        </w:tc>
        <w:tc>
          <w:tcPr>
            <w:tcW w:w="12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2.77</w:t>
            </w:r>
          </w:p>
        </w:tc>
        <w:tc>
          <w:tcPr>
            <w:tcW w:w="196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w:t>
            </w:r>
          </w:p>
        </w:tc>
        <w:tc>
          <w:tcPr>
            <w:tcW w:w="14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restart"/>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废气</w:t>
            </w:r>
          </w:p>
        </w:tc>
        <w:tc>
          <w:tcPr>
            <w:tcW w:w="833" w:type="dxa"/>
            <w:vMerge w:val="restart"/>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有组织</w:t>
            </w: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废气量</w:t>
            </w:r>
            <w:r>
              <w:rPr>
                <w:rFonts w:hint="eastAsia" w:ascii="Times New Roman" w:hAnsi="Times New Roman" w:eastAsia="宋体" w:cs="Times New Roman"/>
                <w:szCs w:val="21"/>
              </w:rPr>
              <w:t>（</w:t>
            </w:r>
            <w:r>
              <w:rPr>
                <w:rFonts w:ascii="Times New Roman" w:hAnsi="Times New Roman" w:eastAsia="宋体" w:cs="Times New Roman"/>
                <w:szCs w:val="21"/>
              </w:rPr>
              <w:t>万m</w:t>
            </w:r>
            <w:r>
              <w:rPr>
                <w:rFonts w:ascii="Times New Roman" w:hAnsi="Times New Roman" w:eastAsia="宋体" w:cs="Times New Roman"/>
                <w:szCs w:val="21"/>
                <w:vertAlign w:val="superscript"/>
              </w:rPr>
              <w:t>3</w:t>
            </w:r>
            <w:r>
              <w:rPr>
                <w:rFonts w:ascii="Times New Roman" w:hAnsi="Times New Roman" w:eastAsia="宋体" w:cs="Times New Roman"/>
                <w:szCs w:val="21"/>
              </w:rPr>
              <w:t>/a</w:t>
            </w:r>
            <w:r>
              <w:rPr>
                <w:rFonts w:hint="eastAsia" w:ascii="Times New Roman" w:hAnsi="Times New Roman" w:eastAsia="宋体" w:cs="Times New Roman"/>
                <w:szCs w:val="21"/>
              </w:rPr>
              <w:t>）</w:t>
            </w:r>
          </w:p>
        </w:tc>
        <w:tc>
          <w:tcPr>
            <w:tcW w:w="12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25134.88</w:t>
            </w:r>
          </w:p>
        </w:tc>
        <w:tc>
          <w:tcPr>
            <w:tcW w:w="1961"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w:t>
            </w:r>
          </w:p>
        </w:tc>
        <w:tc>
          <w:tcPr>
            <w:tcW w:w="14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25134.88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pStyle w:val="52"/>
              <w:spacing w:line="240" w:lineRule="exact"/>
              <w:ind w:left="0"/>
              <w:jc w:val="center"/>
              <w:rPr>
                <w:rFonts w:ascii="Times New Roman" w:hAnsi="Times New Roman" w:eastAsia="宋体" w:cs="Times New Roman"/>
                <w:szCs w:val="21"/>
              </w:rPr>
            </w:pPr>
          </w:p>
        </w:tc>
        <w:tc>
          <w:tcPr>
            <w:tcW w:w="833" w:type="dxa"/>
            <w:vMerge w:val="continue"/>
            <w:vAlign w:val="center"/>
          </w:tcPr>
          <w:p>
            <w:pPr>
              <w:pStyle w:val="52"/>
              <w:spacing w:line="240" w:lineRule="exact"/>
              <w:ind w:left="0"/>
              <w:jc w:val="center"/>
              <w:rPr>
                <w:rFonts w:ascii="Times New Roman" w:hAnsi="Times New Roman" w:eastAsia="宋体" w:cs="Times New Roman"/>
                <w:szCs w:val="21"/>
              </w:rPr>
            </w:pP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position w:val="2"/>
                <w:szCs w:val="21"/>
              </w:rPr>
              <w:t>SO</w:t>
            </w:r>
            <w:r>
              <w:rPr>
                <w:rFonts w:ascii="Times New Roman" w:hAnsi="Times New Roman" w:eastAsia="宋体" w:cs="Times New Roman"/>
                <w:szCs w:val="21"/>
                <w:vertAlign w:val="subscript"/>
              </w:rPr>
              <w:t>2</w:t>
            </w:r>
          </w:p>
        </w:tc>
        <w:tc>
          <w:tcPr>
            <w:tcW w:w="12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2.16</w:t>
            </w:r>
          </w:p>
        </w:tc>
        <w:tc>
          <w:tcPr>
            <w:tcW w:w="1961"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0</w:t>
            </w:r>
          </w:p>
        </w:tc>
        <w:tc>
          <w:tcPr>
            <w:tcW w:w="14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833"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NOx</w:t>
            </w:r>
          </w:p>
        </w:tc>
        <w:tc>
          <w:tcPr>
            <w:tcW w:w="12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7.2</w:t>
            </w:r>
          </w:p>
        </w:tc>
        <w:tc>
          <w:tcPr>
            <w:tcW w:w="1961"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0</w:t>
            </w:r>
          </w:p>
        </w:tc>
        <w:tc>
          <w:tcPr>
            <w:tcW w:w="14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833"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烟尘</w:t>
            </w:r>
          </w:p>
        </w:tc>
        <w:tc>
          <w:tcPr>
            <w:tcW w:w="12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2.8</w:t>
            </w:r>
          </w:p>
        </w:tc>
        <w:tc>
          <w:tcPr>
            <w:tcW w:w="1961"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0</w:t>
            </w:r>
          </w:p>
        </w:tc>
        <w:tc>
          <w:tcPr>
            <w:tcW w:w="14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833"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非甲烷总烃</w:t>
            </w:r>
          </w:p>
        </w:tc>
        <w:tc>
          <w:tcPr>
            <w:tcW w:w="12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14.83</w:t>
            </w:r>
          </w:p>
        </w:tc>
        <w:tc>
          <w:tcPr>
            <w:tcW w:w="1961"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13.3503</w:t>
            </w:r>
          </w:p>
        </w:tc>
        <w:tc>
          <w:tcPr>
            <w:tcW w:w="14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1.4797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833"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NH</w:t>
            </w:r>
            <w:r>
              <w:rPr>
                <w:rFonts w:ascii="Times New Roman" w:hAnsi="Times New Roman" w:eastAsia="宋体" w:cs="Times New Roman"/>
                <w:szCs w:val="21"/>
                <w:vertAlign w:val="subscript"/>
              </w:rPr>
              <w:t>3</w:t>
            </w:r>
          </w:p>
        </w:tc>
        <w:tc>
          <w:tcPr>
            <w:tcW w:w="12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0.52</w:t>
            </w:r>
          </w:p>
        </w:tc>
        <w:tc>
          <w:tcPr>
            <w:tcW w:w="1961"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0.4732</w:t>
            </w:r>
          </w:p>
        </w:tc>
        <w:tc>
          <w:tcPr>
            <w:tcW w:w="14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0.0468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833"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H</w:t>
            </w:r>
            <w:r>
              <w:rPr>
                <w:rFonts w:ascii="Times New Roman" w:hAnsi="Times New Roman" w:eastAsia="宋体" w:cs="Times New Roman"/>
                <w:szCs w:val="21"/>
                <w:vertAlign w:val="subscript"/>
              </w:rPr>
              <w:t>2</w:t>
            </w:r>
            <w:r>
              <w:rPr>
                <w:rFonts w:ascii="Times New Roman" w:hAnsi="Times New Roman" w:eastAsia="宋体" w:cs="Times New Roman"/>
                <w:szCs w:val="21"/>
              </w:rPr>
              <w:t>S</w:t>
            </w:r>
          </w:p>
        </w:tc>
        <w:tc>
          <w:tcPr>
            <w:tcW w:w="12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0.024</w:t>
            </w:r>
          </w:p>
        </w:tc>
        <w:tc>
          <w:tcPr>
            <w:tcW w:w="1961"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0.0218</w:t>
            </w:r>
          </w:p>
        </w:tc>
        <w:tc>
          <w:tcPr>
            <w:tcW w:w="14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0.00216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833" w:type="dxa"/>
            <w:vMerge w:val="restart"/>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无组织</w:t>
            </w: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非甲烷总烃</w:t>
            </w:r>
          </w:p>
        </w:tc>
        <w:tc>
          <w:tcPr>
            <w:tcW w:w="12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kern w:val="0"/>
                <w:szCs w:val="21"/>
              </w:rPr>
              <w:t>1.3851</w:t>
            </w:r>
          </w:p>
        </w:tc>
        <w:tc>
          <w:tcPr>
            <w:tcW w:w="1961"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0</w:t>
            </w:r>
          </w:p>
        </w:tc>
        <w:tc>
          <w:tcPr>
            <w:tcW w:w="14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kern w:val="0"/>
                <w:szCs w:val="21"/>
              </w:rPr>
              <w:t>1.3851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833"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position w:val="2"/>
                <w:szCs w:val="21"/>
              </w:rPr>
              <w:t>NH</w:t>
            </w:r>
            <w:r>
              <w:rPr>
                <w:rFonts w:ascii="Times New Roman" w:hAnsi="Times New Roman" w:eastAsia="宋体" w:cs="Times New Roman"/>
                <w:szCs w:val="21"/>
                <w:vertAlign w:val="subscript"/>
              </w:rPr>
              <w:t>3</w:t>
            </w:r>
          </w:p>
        </w:tc>
        <w:tc>
          <w:tcPr>
            <w:tcW w:w="12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0.052</w:t>
            </w:r>
          </w:p>
        </w:tc>
        <w:tc>
          <w:tcPr>
            <w:tcW w:w="1961"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0</w:t>
            </w:r>
          </w:p>
        </w:tc>
        <w:tc>
          <w:tcPr>
            <w:tcW w:w="14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833"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position w:val="2"/>
                <w:szCs w:val="21"/>
              </w:rPr>
              <w:t>H</w:t>
            </w:r>
            <w:r>
              <w:rPr>
                <w:rFonts w:ascii="Times New Roman" w:hAnsi="Times New Roman" w:eastAsia="宋体" w:cs="Times New Roman"/>
                <w:szCs w:val="21"/>
                <w:vertAlign w:val="subscript"/>
              </w:rPr>
              <w:t>2</w:t>
            </w:r>
            <w:r>
              <w:rPr>
                <w:rFonts w:ascii="Times New Roman" w:hAnsi="Times New Roman" w:eastAsia="宋体" w:cs="Times New Roman"/>
                <w:position w:val="2"/>
                <w:szCs w:val="21"/>
              </w:rPr>
              <w:t>S</w:t>
            </w:r>
          </w:p>
        </w:tc>
        <w:tc>
          <w:tcPr>
            <w:tcW w:w="12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0.0024</w:t>
            </w:r>
          </w:p>
        </w:tc>
        <w:tc>
          <w:tcPr>
            <w:tcW w:w="1961"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0</w:t>
            </w:r>
          </w:p>
        </w:tc>
        <w:tc>
          <w:tcPr>
            <w:tcW w:w="14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restart"/>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固废</w:t>
            </w:r>
          </w:p>
        </w:tc>
        <w:tc>
          <w:tcPr>
            <w:tcW w:w="833" w:type="dxa"/>
            <w:vMerge w:val="restart"/>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危险废物</w:t>
            </w:r>
          </w:p>
        </w:tc>
        <w:tc>
          <w:tcPr>
            <w:tcW w:w="2126"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含油污泥</w:t>
            </w:r>
          </w:p>
        </w:tc>
        <w:tc>
          <w:tcPr>
            <w:tcW w:w="122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17.2</w:t>
            </w:r>
          </w:p>
        </w:tc>
        <w:tc>
          <w:tcPr>
            <w:tcW w:w="1961"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17.2</w:t>
            </w:r>
          </w:p>
        </w:tc>
        <w:tc>
          <w:tcPr>
            <w:tcW w:w="1422" w:type="dxa"/>
            <w:vAlign w:val="center"/>
          </w:tcPr>
          <w:p>
            <w:pPr>
              <w:pStyle w:val="52"/>
              <w:spacing w:line="240" w:lineRule="exact"/>
              <w:ind w:left="0"/>
              <w:jc w:val="center"/>
              <w:rPr>
                <w:rFonts w:ascii="Times New Roman" w:hAnsi="Times New Roman" w:eastAsia="宋体" w:cs="Times New Roman"/>
                <w:w w:val="99"/>
                <w:szCs w:val="21"/>
              </w:rPr>
            </w:pPr>
            <w:r>
              <w:rPr>
                <w:rFonts w:ascii="Times New Roman" w:hAnsi="Times New Roman" w:eastAsia="宋体"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pStyle w:val="52"/>
              <w:spacing w:line="240" w:lineRule="exact"/>
              <w:ind w:left="0"/>
              <w:jc w:val="center"/>
              <w:rPr>
                <w:rFonts w:ascii="Times New Roman" w:hAnsi="Times New Roman" w:eastAsia="宋体" w:cs="Times New Roman"/>
                <w:szCs w:val="21"/>
              </w:rPr>
            </w:pPr>
          </w:p>
        </w:tc>
        <w:tc>
          <w:tcPr>
            <w:tcW w:w="833" w:type="dxa"/>
            <w:vMerge w:val="continue"/>
            <w:vAlign w:val="center"/>
          </w:tcPr>
          <w:p>
            <w:pPr>
              <w:pStyle w:val="52"/>
              <w:spacing w:line="240" w:lineRule="exact"/>
              <w:ind w:left="0"/>
              <w:jc w:val="center"/>
              <w:rPr>
                <w:rFonts w:ascii="Times New Roman" w:hAnsi="Times New Roman" w:eastAsia="宋体" w:cs="Times New Roman"/>
                <w:szCs w:val="21"/>
              </w:rPr>
            </w:pPr>
          </w:p>
        </w:tc>
        <w:tc>
          <w:tcPr>
            <w:tcW w:w="2126"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含油残渣</w:t>
            </w:r>
          </w:p>
        </w:tc>
        <w:tc>
          <w:tcPr>
            <w:tcW w:w="122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4984</w:t>
            </w:r>
          </w:p>
        </w:tc>
        <w:tc>
          <w:tcPr>
            <w:tcW w:w="1961"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4984</w:t>
            </w:r>
          </w:p>
        </w:tc>
        <w:tc>
          <w:tcPr>
            <w:tcW w:w="1422" w:type="dxa"/>
            <w:vAlign w:val="center"/>
          </w:tcPr>
          <w:p>
            <w:pPr>
              <w:pStyle w:val="52"/>
              <w:spacing w:line="240" w:lineRule="exact"/>
              <w:ind w:left="0"/>
              <w:jc w:val="center"/>
              <w:rPr>
                <w:rFonts w:ascii="Times New Roman" w:hAnsi="Times New Roman" w:eastAsia="宋体" w:cs="Times New Roman"/>
                <w:w w:val="99"/>
                <w:szCs w:val="21"/>
              </w:rPr>
            </w:pPr>
            <w:r>
              <w:rPr>
                <w:rFonts w:ascii="Times New Roman" w:hAnsi="Times New Roman" w:eastAsia="宋体"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pStyle w:val="52"/>
              <w:spacing w:line="240" w:lineRule="exact"/>
              <w:ind w:left="0"/>
              <w:jc w:val="center"/>
              <w:rPr>
                <w:rFonts w:ascii="Times New Roman" w:hAnsi="Times New Roman" w:eastAsia="宋体" w:cs="Times New Roman"/>
                <w:szCs w:val="21"/>
              </w:rPr>
            </w:pPr>
          </w:p>
        </w:tc>
        <w:tc>
          <w:tcPr>
            <w:tcW w:w="833" w:type="dxa"/>
            <w:vMerge w:val="continue"/>
            <w:vAlign w:val="center"/>
          </w:tcPr>
          <w:p>
            <w:pPr>
              <w:pStyle w:val="52"/>
              <w:spacing w:line="240" w:lineRule="exact"/>
              <w:ind w:left="0"/>
              <w:jc w:val="center"/>
              <w:rPr>
                <w:rFonts w:ascii="Times New Roman" w:hAnsi="Times New Roman" w:eastAsia="宋体" w:cs="Times New Roman"/>
                <w:szCs w:val="21"/>
              </w:rPr>
            </w:pPr>
          </w:p>
        </w:tc>
        <w:tc>
          <w:tcPr>
            <w:tcW w:w="2126"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废过滤网</w:t>
            </w:r>
          </w:p>
        </w:tc>
        <w:tc>
          <w:tcPr>
            <w:tcW w:w="122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0.3</w:t>
            </w:r>
          </w:p>
        </w:tc>
        <w:tc>
          <w:tcPr>
            <w:tcW w:w="1961"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0.3</w:t>
            </w:r>
          </w:p>
        </w:tc>
        <w:tc>
          <w:tcPr>
            <w:tcW w:w="142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pStyle w:val="52"/>
              <w:spacing w:line="240" w:lineRule="exact"/>
              <w:ind w:left="0"/>
              <w:jc w:val="center"/>
              <w:rPr>
                <w:rFonts w:ascii="Times New Roman" w:hAnsi="Times New Roman" w:eastAsia="宋体" w:cs="Times New Roman"/>
                <w:szCs w:val="21"/>
              </w:rPr>
            </w:pPr>
          </w:p>
        </w:tc>
        <w:tc>
          <w:tcPr>
            <w:tcW w:w="833" w:type="dxa"/>
            <w:vMerge w:val="continue"/>
            <w:vAlign w:val="center"/>
          </w:tcPr>
          <w:p>
            <w:pPr>
              <w:pStyle w:val="52"/>
              <w:spacing w:line="240" w:lineRule="exact"/>
              <w:ind w:left="0"/>
              <w:jc w:val="center"/>
              <w:rPr>
                <w:rFonts w:ascii="Times New Roman" w:hAnsi="Times New Roman" w:eastAsia="宋体" w:cs="Times New Roman"/>
                <w:szCs w:val="21"/>
              </w:rPr>
            </w:pPr>
          </w:p>
        </w:tc>
        <w:tc>
          <w:tcPr>
            <w:tcW w:w="2126"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废滤布和含油抹布</w:t>
            </w:r>
          </w:p>
        </w:tc>
        <w:tc>
          <w:tcPr>
            <w:tcW w:w="122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1.5</w:t>
            </w:r>
          </w:p>
        </w:tc>
        <w:tc>
          <w:tcPr>
            <w:tcW w:w="1961"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1.5</w:t>
            </w:r>
          </w:p>
        </w:tc>
        <w:tc>
          <w:tcPr>
            <w:tcW w:w="1422" w:type="dxa"/>
            <w:vAlign w:val="center"/>
          </w:tcPr>
          <w:p>
            <w:pPr>
              <w:pStyle w:val="52"/>
              <w:spacing w:line="240" w:lineRule="exact"/>
              <w:ind w:left="0"/>
              <w:jc w:val="center"/>
              <w:rPr>
                <w:rFonts w:ascii="Times New Roman" w:hAnsi="Times New Roman" w:eastAsia="宋体" w:cs="Times New Roman"/>
                <w:w w:val="99"/>
                <w:szCs w:val="21"/>
              </w:rPr>
            </w:pPr>
            <w:r>
              <w:rPr>
                <w:rFonts w:ascii="Times New Roman" w:hAnsi="Times New Roman" w:eastAsia="宋体"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833"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废活性炭</w:t>
            </w:r>
          </w:p>
        </w:tc>
        <w:tc>
          <w:tcPr>
            <w:tcW w:w="122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0.8</w:t>
            </w:r>
          </w:p>
        </w:tc>
        <w:tc>
          <w:tcPr>
            <w:tcW w:w="1961"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0.8</w:t>
            </w:r>
          </w:p>
        </w:tc>
        <w:tc>
          <w:tcPr>
            <w:tcW w:w="142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2959" w:type="dxa"/>
            <w:gridSpan w:val="2"/>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生活垃圾</w:t>
            </w:r>
          </w:p>
        </w:tc>
        <w:tc>
          <w:tcPr>
            <w:tcW w:w="122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26.4</w:t>
            </w:r>
          </w:p>
        </w:tc>
        <w:tc>
          <w:tcPr>
            <w:tcW w:w="1961" w:type="dxa"/>
            <w:vAlign w:val="center"/>
          </w:tcPr>
          <w:p>
            <w:pPr>
              <w:pStyle w:val="52"/>
              <w:spacing w:line="240" w:lineRule="exact"/>
              <w:ind w:left="0"/>
              <w:jc w:val="center"/>
              <w:rPr>
                <w:rFonts w:ascii="Times New Roman" w:hAnsi="Times New Roman" w:eastAsia="宋体" w:cs="Times New Roman"/>
                <w:w w:val="99"/>
                <w:szCs w:val="21"/>
              </w:rPr>
            </w:pPr>
            <w:r>
              <w:rPr>
                <w:rFonts w:ascii="Times New Roman" w:hAnsi="Times New Roman" w:eastAsia="宋体" w:cs="Times New Roman"/>
                <w:szCs w:val="21"/>
              </w:rPr>
              <w:t>26.4</w:t>
            </w:r>
          </w:p>
        </w:tc>
        <w:tc>
          <w:tcPr>
            <w:tcW w:w="142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0</w:t>
            </w:r>
          </w:p>
        </w:tc>
      </w:tr>
    </w:tbl>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变更后全厂主要污染物排放“三本账”见表</w:t>
      </w:r>
      <w:r>
        <w:rPr>
          <w:rFonts w:ascii="Times New Roman" w:hAnsi="Times New Roman" w:eastAsia="宋体" w:cs="Times New Roman"/>
          <w:sz w:val="24"/>
          <w:szCs w:val="24"/>
        </w:rPr>
        <w:t>3.10-2</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表</w:t>
      </w:r>
      <w:r>
        <w:rPr>
          <w:rFonts w:ascii="Times New Roman" w:hAnsi="Times New Roman" w:eastAsia="黑体" w:cs="Times New Roman"/>
          <w:sz w:val="24"/>
          <w:szCs w:val="24"/>
        </w:rPr>
        <w:t>3.10</w:t>
      </w:r>
      <w:r>
        <w:rPr>
          <w:rFonts w:hint="eastAsia" w:ascii="Times New Roman" w:hAnsi="Times New Roman" w:eastAsia="黑体" w:cs="Times New Roman"/>
          <w:sz w:val="24"/>
          <w:szCs w:val="24"/>
        </w:rPr>
        <w:t>-</w:t>
      </w:r>
      <w:r>
        <w:rPr>
          <w:rFonts w:ascii="Times New Roman" w:hAnsi="Times New Roman" w:eastAsia="黑体" w:cs="Times New Roman"/>
          <w:sz w:val="24"/>
          <w:szCs w:val="24"/>
        </w:rPr>
        <w:t>2</w:t>
      </w:r>
      <w:r>
        <w:rPr>
          <w:rFonts w:hint="eastAsia" w:ascii="Times New Roman" w:hAnsi="Times New Roman" w:eastAsia="黑体" w:cs="Times New Roman"/>
          <w:sz w:val="24"/>
          <w:szCs w:val="24"/>
        </w:rPr>
        <w:t xml:space="preserve">         项目变更后全厂主要污染物“三本账”一览表</w:t>
      </w:r>
    </w:p>
    <w:tbl>
      <w:tblPr>
        <w:tblStyle w:val="19"/>
        <w:tblW w:w="82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833"/>
        <w:gridCol w:w="2126"/>
        <w:gridCol w:w="1222"/>
        <w:gridCol w:w="1961"/>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65" w:type="dxa"/>
            <w:gridSpan w:val="2"/>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污染源</w:t>
            </w: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污染物</w:t>
            </w:r>
          </w:p>
        </w:tc>
        <w:tc>
          <w:tcPr>
            <w:tcW w:w="122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产生量</w:t>
            </w:r>
          </w:p>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（t/a）</w:t>
            </w:r>
          </w:p>
        </w:tc>
        <w:tc>
          <w:tcPr>
            <w:tcW w:w="1961"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削减（处置）量</w:t>
            </w:r>
          </w:p>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（t/a）</w:t>
            </w:r>
          </w:p>
        </w:tc>
        <w:tc>
          <w:tcPr>
            <w:tcW w:w="142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排放量</w:t>
            </w:r>
          </w:p>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65" w:type="dxa"/>
            <w:gridSpan w:val="2"/>
            <w:vMerge w:val="restart"/>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废水</w:t>
            </w: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废水（万m</w:t>
            </w:r>
            <w:r>
              <w:rPr>
                <w:rFonts w:ascii="Times New Roman" w:hAnsi="Times New Roman" w:eastAsia="宋体" w:cs="Times New Roman"/>
                <w:szCs w:val="21"/>
                <w:vertAlign w:val="superscript"/>
              </w:rPr>
              <w:t>3</w:t>
            </w:r>
            <w:r>
              <w:rPr>
                <w:rFonts w:ascii="Times New Roman" w:hAnsi="Times New Roman" w:eastAsia="宋体" w:cs="Times New Roman"/>
                <w:szCs w:val="21"/>
              </w:rPr>
              <w:t>/a）</w:t>
            </w:r>
          </w:p>
        </w:tc>
        <w:tc>
          <w:tcPr>
            <w:tcW w:w="12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10.0067</w:t>
            </w:r>
          </w:p>
        </w:tc>
        <w:tc>
          <w:tcPr>
            <w:tcW w:w="1961" w:type="dxa"/>
            <w:vAlign w:val="center"/>
          </w:tcPr>
          <w:p>
            <w:pPr>
              <w:widowControl/>
              <w:jc w:val="center"/>
              <w:rPr>
                <w:rFonts w:ascii="Times New Roman" w:hAnsi="Times New Roman" w:eastAsia="等线" w:cs="Times New Roman"/>
                <w:szCs w:val="21"/>
              </w:rPr>
            </w:pPr>
            <w:r>
              <w:rPr>
                <w:rFonts w:hint="eastAsia" w:ascii="Times New Roman" w:hAnsi="Times New Roman" w:eastAsia="等线" w:cs="Times New Roman"/>
                <w:szCs w:val="21"/>
              </w:rPr>
              <w:t>0</w:t>
            </w:r>
          </w:p>
        </w:tc>
        <w:tc>
          <w:tcPr>
            <w:tcW w:w="14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10.0067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65" w:type="dxa"/>
            <w:gridSpan w:val="2"/>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COD</w:t>
            </w:r>
          </w:p>
        </w:tc>
        <w:tc>
          <w:tcPr>
            <w:tcW w:w="1222" w:type="dxa"/>
            <w:vAlign w:val="bottom"/>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318.54</w:t>
            </w:r>
          </w:p>
        </w:tc>
        <w:tc>
          <w:tcPr>
            <w:tcW w:w="1961" w:type="dxa"/>
            <w:vAlign w:val="bottom"/>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 xml:space="preserve">310.85 </w:t>
            </w:r>
          </w:p>
        </w:tc>
        <w:tc>
          <w:tcPr>
            <w:tcW w:w="1422" w:type="dxa"/>
            <w:vAlign w:val="bottom"/>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 xml:space="preserve">7.69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65" w:type="dxa"/>
            <w:gridSpan w:val="2"/>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BOD</w:t>
            </w:r>
            <w:r>
              <w:rPr>
                <w:rFonts w:ascii="Times New Roman" w:hAnsi="Times New Roman" w:eastAsia="宋体" w:cs="Times New Roman"/>
                <w:szCs w:val="21"/>
                <w:vertAlign w:val="subscript"/>
              </w:rPr>
              <w:t>5</w:t>
            </w:r>
          </w:p>
        </w:tc>
        <w:tc>
          <w:tcPr>
            <w:tcW w:w="1222" w:type="dxa"/>
            <w:vAlign w:val="bottom"/>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120.99</w:t>
            </w:r>
          </w:p>
        </w:tc>
        <w:tc>
          <w:tcPr>
            <w:tcW w:w="1961" w:type="dxa"/>
            <w:vAlign w:val="bottom"/>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 xml:space="preserve">119.73 </w:t>
            </w:r>
          </w:p>
        </w:tc>
        <w:tc>
          <w:tcPr>
            <w:tcW w:w="1422" w:type="dxa"/>
            <w:vAlign w:val="bottom"/>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 xml:space="preserve">1.26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65" w:type="dxa"/>
            <w:gridSpan w:val="2"/>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石油类</w:t>
            </w:r>
          </w:p>
        </w:tc>
        <w:tc>
          <w:tcPr>
            <w:tcW w:w="1222" w:type="dxa"/>
            <w:vAlign w:val="bottom"/>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36.10</w:t>
            </w:r>
          </w:p>
        </w:tc>
        <w:tc>
          <w:tcPr>
            <w:tcW w:w="1961" w:type="dxa"/>
            <w:vAlign w:val="bottom"/>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 xml:space="preserve">35.82 </w:t>
            </w:r>
          </w:p>
        </w:tc>
        <w:tc>
          <w:tcPr>
            <w:tcW w:w="1422" w:type="dxa"/>
            <w:vAlign w:val="bottom"/>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 xml:space="preserve">0.28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65" w:type="dxa"/>
            <w:gridSpan w:val="2"/>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硫化物</w:t>
            </w:r>
          </w:p>
        </w:tc>
        <w:tc>
          <w:tcPr>
            <w:tcW w:w="1222" w:type="dxa"/>
            <w:vAlign w:val="bottom"/>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0.08</w:t>
            </w:r>
          </w:p>
        </w:tc>
        <w:tc>
          <w:tcPr>
            <w:tcW w:w="1961" w:type="dxa"/>
            <w:vAlign w:val="bottom"/>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 xml:space="preserve">0.07 </w:t>
            </w:r>
          </w:p>
        </w:tc>
        <w:tc>
          <w:tcPr>
            <w:tcW w:w="1422" w:type="dxa"/>
            <w:vAlign w:val="bottom"/>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 xml:space="preserve">0.01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65" w:type="dxa"/>
            <w:gridSpan w:val="2"/>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氨氮</w:t>
            </w:r>
          </w:p>
        </w:tc>
        <w:tc>
          <w:tcPr>
            <w:tcW w:w="1222" w:type="dxa"/>
            <w:vAlign w:val="bottom"/>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0.71</w:t>
            </w:r>
          </w:p>
        </w:tc>
        <w:tc>
          <w:tcPr>
            <w:tcW w:w="1961" w:type="dxa"/>
            <w:vAlign w:val="bottom"/>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0.08*</w:t>
            </w:r>
          </w:p>
        </w:tc>
        <w:tc>
          <w:tcPr>
            <w:tcW w:w="1422" w:type="dxa"/>
            <w:vAlign w:val="bottom"/>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 xml:space="preserve">0.79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565" w:type="dxa"/>
            <w:gridSpan w:val="2"/>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SS</w:t>
            </w:r>
          </w:p>
        </w:tc>
        <w:tc>
          <w:tcPr>
            <w:tcW w:w="1222" w:type="dxa"/>
            <w:vAlign w:val="bottom"/>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2.77</w:t>
            </w:r>
          </w:p>
        </w:tc>
        <w:tc>
          <w:tcPr>
            <w:tcW w:w="1961" w:type="dxa"/>
            <w:vAlign w:val="bottom"/>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0.00</w:t>
            </w:r>
          </w:p>
        </w:tc>
        <w:tc>
          <w:tcPr>
            <w:tcW w:w="1422" w:type="dxa"/>
            <w:vAlign w:val="bottom"/>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 xml:space="preserve">2.77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restart"/>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废气</w:t>
            </w:r>
          </w:p>
        </w:tc>
        <w:tc>
          <w:tcPr>
            <w:tcW w:w="833" w:type="dxa"/>
            <w:vMerge w:val="restart"/>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有组织</w:t>
            </w: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废气量(万m</w:t>
            </w:r>
            <w:r>
              <w:rPr>
                <w:rFonts w:ascii="Times New Roman" w:hAnsi="Times New Roman" w:eastAsia="宋体" w:cs="Times New Roman"/>
                <w:szCs w:val="21"/>
                <w:vertAlign w:val="superscript"/>
              </w:rPr>
              <w:t>3</w:t>
            </w:r>
            <w:r>
              <w:rPr>
                <w:rFonts w:ascii="Times New Roman" w:hAnsi="Times New Roman" w:eastAsia="宋体" w:cs="Times New Roman"/>
                <w:szCs w:val="21"/>
              </w:rPr>
              <w:t>/a)</w:t>
            </w:r>
          </w:p>
        </w:tc>
        <w:tc>
          <w:tcPr>
            <w:tcW w:w="12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18946.02</w:t>
            </w:r>
          </w:p>
        </w:tc>
        <w:tc>
          <w:tcPr>
            <w:tcW w:w="1961" w:type="dxa"/>
            <w:vAlign w:val="center"/>
          </w:tcPr>
          <w:p>
            <w:pPr>
              <w:widowControl/>
              <w:jc w:val="center"/>
              <w:rPr>
                <w:rFonts w:ascii="Times New Roman" w:hAnsi="Times New Roman" w:eastAsia="等线" w:cs="Times New Roman"/>
                <w:szCs w:val="21"/>
              </w:rPr>
            </w:pPr>
            <w:r>
              <w:rPr>
                <w:rFonts w:ascii="Times New Roman" w:hAnsi="Times New Roman" w:eastAsia="等线" w:cs="Times New Roman"/>
                <w:szCs w:val="21"/>
              </w:rPr>
              <w:t>0</w:t>
            </w:r>
          </w:p>
        </w:tc>
        <w:tc>
          <w:tcPr>
            <w:tcW w:w="14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18946.02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pStyle w:val="52"/>
              <w:spacing w:line="240" w:lineRule="exact"/>
              <w:ind w:left="0"/>
              <w:jc w:val="center"/>
              <w:rPr>
                <w:rFonts w:ascii="Times New Roman" w:hAnsi="Times New Roman" w:eastAsia="宋体" w:cs="Times New Roman"/>
                <w:szCs w:val="21"/>
              </w:rPr>
            </w:pPr>
          </w:p>
        </w:tc>
        <w:tc>
          <w:tcPr>
            <w:tcW w:w="833" w:type="dxa"/>
            <w:vMerge w:val="continue"/>
            <w:vAlign w:val="center"/>
          </w:tcPr>
          <w:p>
            <w:pPr>
              <w:pStyle w:val="52"/>
              <w:spacing w:line="240" w:lineRule="exact"/>
              <w:ind w:left="0"/>
              <w:jc w:val="center"/>
              <w:rPr>
                <w:rFonts w:ascii="Times New Roman" w:hAnsi="Times New Roman" w:eastAsia="宋体" w:cs="Times New Roman"/>
                <w:szCs w:val="21"/>
              </w:rPr>
            </w:pP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position w:val="2"/>
                <w:szCs w:val="21"/>
              </w:rPr>
              <w:t>SO</w:t>
            </w:r>
            <w:r>
              <w:rPr>
                <w:rFonts w:ascii="Times New Roman" w:hAnsi="Times New Roman" w:eastAsia="宋体" w:cs="Times New Roman"/>
                <w:szCs w:val="21"/>
                <w:vertAlign w:val="subscript"/>
              </w:rPr>
              <w:t>2</w:t>
            </w:r>
          </w:p>
        </w:tc>
        <w:tc>
          <w:tcPr>
            <w:tcW w:w="1222" w:type="dxa"/>
            <w:vAlign w:val="center"/>
          </w:tcPr>
          <w:p>
            <w:pPr>
              <w:widowControl/>
              <w:spacing w:line="240" w:lineRule="exact"/>
              <w:jc w:val="center"/>
              <w:rPr>
                <w:rFonts w:ascii="Times New Roman" w:hAnsi="Times New Roman" w:eastAsia="等线" w:cs="Times New Roman"/>
                <w:szCs w:val="21"/>
              </w:rPr>
            </w:pPr>
            <w:r>
              <w:rPr>
                <w:rFonts w:ascii="Times New Roman" w:hAnsi="Times New Roman" w:eastAsia="等线" w:cs="Times New Roman"/>
                <w:szCs w:val="21"/>
              </w:rPr>
              <w:t>2.08</w:t>
            </w:r>
          </w:p>
        </w:tc>
        <w:tc>
          <w:tcPr>
            <w:tcW w:w="1961" w:type="dxa"/>
            <w:vAlign w:val="center"/>
          </w:tcPr>
          <w:p>
            <w:pPr>
              <w:jc w:val="center"/>
              <w:rPr>
                <w:rFonts w:ascii="Times New Roman" w:hAnsi="Times New Roman" w:eastAsia="等线" w:cs="Times New Roman"/>
                <w:szCs w:val="21"/>
              </w:rPr>
            </w:pPr>
            <w:r>
              <w:rPr>
                <w:rFonts w:ascii="Times New Roman" w:hAnsi="Times New Roman" w:eastAsia="等线" w:cs="Times New Roman"/>
                <w:szCs w:val="21"/>
              </w:rPr>
              <w:t>0</w:t>
            </w:r>
          </w:p>
        </w:tc>
        <w:tc>
          <w:tcPr>
            <w:tcW w:w="1422" w:type="dxa"/>
            <w:vAlign w:val="center"/>
          </w:tcPr>
          <w:p>
            <w:pPr>
              <w:widowControl/>
              <w:spacing w:line="240" w:lineRule="exact"/>
              <w:jc w:val="center"/>
              <w:rPr>
                <w:rFonts w:ascii="Times New Roman" w:hAnsi="Times New Roman" w:eastAsia="等线" w:cs="Times New Roman"/>
                <w:szCs w:val="21"/>
              </w:rPr>
            </w:pPr>
            <w:r>
              <w:rPr>
                <w:rFonts w:ascii="Times New Roman" w:hAnsi="Times New Roman" w:eastAsia="等线" w:cs="Times New Roman"/>
                <w:szCs w:val="21"/>
              </w:rPr>
              <w:t>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833"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NOx</w:t>
            </w:r>
          </w:p>
        </w:tc>
        <w:tc>
          <w:tcPr>
            <w:tcW w:w="1222"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5.1</w:t>
            </w:r>
          </w:p>
        </w:tc>
        <w:tc>
          <w:tcPr>
            <w:tcW w:w="1961" w:type="dxa"/>
            <w:vAlign w:val="center"/>
          </w:tcPr>
          <w:p>
            <w:pPr>
              <w:jc w:val="center"/>
              <w:rPr>
                <w:rFonts w:ascii="Times New Roman" w:hAnsi="Times New Roman" w:eastAsia="等线" w:cs="Times New Roman"/>
                <w:szCs w:val="21"/>
              </w:rPr>
            </w:pPr>
            <w:r>
              <w:rPr>
                <w:rFonts w:ascii="Times New Roman" w:hAnsi="Times New Roman" w:eastAsia="等线" w:cs="Times New Roman"/>
                <w:szCs w:val="21"/>
              </w:rPr>
              <w:t>0</w:t>
            </w:r>
          </w:p>
        </w:tc>
        <w:tc>
          <w:tcPr>
            <w:tcW w:w="1422"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833"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烟尘</w:t>
            </w:r>
          </w:p>
        </w:tc>
        <w:tc>
          <w:tcPr>
            <w:tcW w:w="1222"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2</w:t>
            </w:r>
          </w:p>
        </w:tc>
        <w:tc>
          <w:tcPr>
            <w:tcW w:w="1961" w:type="dxa"/>
            <w:vAlign w:val="center"/>
          </w:tcPr>
          <w:p>
            <w:pPr>
              <w:jc w:val="center"/>
              <w:rPr>
                <w:rFonts w:ascii="Times New Roman" w:hAnsi="Times New Roman" w:eastAsia="等线" w:cs="Times New Roman"/>
                <w:szCs w:val="21"/>
              </w:rPr>
            </w:pPr>
            <w:r>
              <w:rPr>
                <w:rFonts w:ascii="Times New Roman" w:hAnsi="Times New Roman" w:eastAsia="等线" w:cs="Times New Roman"/>
                <w:szCs w:val="21"/>
              </w:rPr>
              <w:t>0</w:t>
            </w:r>
          </w:p>
        </w:tc>
        <w:tc>
          <w:tcPr>
            <w:tcW w:w="1422"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833"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非甲烷总烃</w:t>
            </w:r>
          </w:p>
        </w:tc>
        <w:tc>
          <w:tcPr>
            <w:tcW w:w="1222"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14.714</w:t>
            </w:r>
          </w:p>
        </w:tc>
        <w:tc>
          <w:tcPr>
            <w:tcW w:w="1961" w:type="dxa"/>
            <w:vAlign w:val="center"/>
          </w:tcPr>
          <w:p>
            <w:pPr>
              <w:jc w:val="center"/>
              <w:rPr>
                <w:rFonts w:ascii="Times New Roman" w:hAnsi="Times New Roman" w:eastAsia="等线" w:cs="Times New Roman"/>
                <w:szCs w:val="21"/>
              </w:rPr>
            </w:pPr>
            <w:r>
              <w:rPr>
                <w:rFonts w:ascii="Times New Roman" w:hAnsi="Times New Roman" w:eastAsia="等线" w:cs="Times New Roman"/>
                <w:szCs w:val="21"/>
              </w:rPr>
              <w:t>13.24476</w:t>
            </w:r>
          </w:p>
        </w:tc>
        <w:tc>
          <w:tcPr>
            <w:tcW w:w="1422"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1.46924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833"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NH</w:t>
            </w:r>
            <w:r>
              <w:rPr>
                <w:rFonts w:ascii="Times New Roman" w:hAnsi="Times New Roman" w:eastAsia="宋体" w:cs="Times New Roman"/>
                <w:szCs w:val="21"/>
                <w:vertAlign w:val="subscript"/>
              </w:rPr>
              <w:t>3</w:t>
            </w:r>
          </w:p>
        </w:tc>
        <w:tc>
          <w:tcPr>
            <w:tcW w:w="1222"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0.45</w:t>
            </w:r>
          </w:p>
        </w:tc>
        <w:tc>
          <w:tcPr>
            <w:tcW w:w="1961" w:type="dxa"/>
            <w:vAlign w:val="center"/>
          </w:tcPr>
          <w:p>
            <w:pPr>
              <w:jc w:val="center"/>
              <w:rPr>
                <w:rFonts w:ascii="Times New Roman" w:hAnsi="Times New Roman" w:eastAsia="等线" w:cs="Times New Roman"/>
                <w:szCs w:val="21"/>
              </w:rPr>
            </w:pPr>
            <w:r>
              <w:rPr>
                <w:rFonts w:ascii="Times New Roman" w:hAnsi="Times New Roman" w:eastAsia="等线" w:cs="Times New Roman"/>
                <w:szCs w:val="21"/>
              </w:rPr>
              <w:t>0.4092</w:t>
            </w:r>
          </w:p>
        </w:tc>
        <w:tc>
          <w:tcPr>
            <w:tcW w:w="1422"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0.0408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833"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H</w:t>
            </w:r>
            <w:r>
              <w:rPr>
                <w:rFonts w:ascii="Times New Roman" w:hAnsi="Times New Roman" w:eastAsia="宋体" w:cs="Times New Roman"/>
                <w:szCs w:val="21"/>
                <w:vertAlign w:val="subscript"/>
              </w:rPr>
              <w:t>2</w:t>
            </w:r>
            <w:r>
              <w:rPr>
                <w:rFonts w:ascii="Times New Roman" w:hAnsi="Times New Roman" w:eastAsia="宋体" w:cs="Times New Roman"/>
                <w:szCs w:val="21"/>
              </w:rPr>
              <w:t>S</w:t>
            </w:r>
          </w:p>
        </w:tc>
        <w:tc>
          <w:tcPr>
            <w:tcW w:w="1222"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0.021</w:t>
            </w:r>
          </w:p>
        </w:tc>
        <w:tc>
          <w:tcPr>
            <w:tcW w:w="1961" w:type="dxa"/>
            <w:vAlign w:val="center"/>
          </w:tcPr>
          <w:p>
            <w:pPr>
              <w:jc w:val="center"/>
              <w:rPr>
                <w:rFonts w:ascii="Times New Roman" w:hAnsi="Times New Roman" w:eastAsia="等线" w:cs="Times New Roman"/>
                <w:szCs w:val="21"/>
              </w:rPr>
            </w:pPr>
            <w:r>
              <w:rPr>
                <w:rFonts w:ascii="Times New Roman" w:hAnsi="Times New Roman" w:eastAsia="等线" w:cs="Times New Roman"/>
                <w:szCs w:val="21"/>
              </w:rPr>
              <w:t>0.01912</w:t>
            </w:r>
          </w:p>
        </w:tc>
        <w:tc>
          <w:tcPr>
            <w:tcW w:w="1422"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0.00188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833" w:type="dxa"/>
            <w:vMerge w:val="restart"/>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无组织</w:t>
            </w: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非甲烷总烃</w:t>
            </w:r>
          </w:p>
        </w:tc>
        <w:tc>
          <w:tcPr>
            <w:tcW w:w="1222"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1.3747</w:t>
            </w:r>
          </w:p>
        </w:tc>
        <w:tc>
          <w:tcPr>
            <w:tcW w:w="1961" w:type="dxa"/>
            <w:vAlign w:val="center"/>
          </w:tcPr>
          <w:p>
            <w:pPr>
              <w:jc w:val="center"/>
              <w:rPr>
                <w:rFonts w:ascii="Times New Roman" w:hAnsi="Times New Roman" w:eastAsia="等线" w:cs="Times New Roman"/>
                <w:szCs w:val="21"/>
              </w:rPr>
            </w:pPr>
            <w:r>
              <w:rPr>
                <w:rFonts w:ascii="Times New Roman" w:hAnsi="Times New Roman" w:eastAsia="等线" w:cs="Times New Roman"/>
                <w:szCs w:val="21"/>
              </w:rPr>
              <w:t>0</w:t>
            </w:r>
          </w:p>
        </w:tc>
        <w:tc>
          <w:tcPr>
            <w:tcW w:w="1422"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1.3747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833"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position w:val="2"/>
                <w:szCs w:val="21"/>
              </w:rPr>
              <w:t>NH</w:t>
            </w:r>
            <w:r>
              <w:rPr>
                <w:rFonts w:ascii="Times New Roman" w:hAnsi="Times New Roman" w:eastAsia="宋体" w:cs="Times New Roman"/>
                <w:szCs w:val="21"/>
                <w:vertAlign w:val="subscript"/>
              </w:rPr>
              <w:t>3</w:t>
            </w:r>
          </w:p>
        </w:tc>
        <w:tc>
          <w:tcPr>
            <w:tcW w:w="1222"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0.045</w:t>
            </w:r>
          </w:p>
        </w:tc>
        <w:tc>
          <w:tcPr>
            <w:tcW w:w="1961" w:type="dxa"/>
            <w:vAlign w:val="center"/>
          </w:tcPr>
          <w:p>
            <w:pPr>
              <w:jc w:val="center"/>
              <w:rPr>
                <w:rFonts w:ascii="Times New Roman" w:hAnsi="Times New Roman" w:eastAsia="等线" w:cs="Times New Roman"/>
                <w:szCs w:val="21"/>
              </w:rPr>
            </w:pPr>
            <w:r>
              <w:rPr>
                <w:rFonts w:ascii="Times New Roman" w:hAnsi="Times New Roman" w:eastAsia="等线" w:cs="Times New Roman"/>
                <w:szCs w:val="21"/>
              </w:rPr>
              <w:t>0</w:t>
            </w:r>
          </w:p>
        </w:tc>
        <w:tc>
          <w:tcPr>
            <w:tcW w:w="1422"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0.045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833"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position w:val="2"/>
                <w:szCs w:val="21"/>
              </w:rPr>
              <w:t>H</w:t>
            </w:r>
            <w:r>
              <w:rPr>
                <w:rFonts w:ascii="Times New Roman" w:hAnsi="Times New Roman" w:eastAsia="宋体" w:cs="Times New Roman"/>
                <w:szCs w:val="21"/>
                <w:vertAlign w:val="subscript"/>
              </w:rPr>
              <w:t>2</w:t>
            </w:r>
            <w:r>
              <w:rPr>
                <w:rFonts w:ascii="Times New Roman" w:hAnsi="Times New Roman" w:eastAsia="宋体" w:cs="Times New Roman"/>
                <w:position w:val="2"/>
                <w:szCs w:val="21"/>
              </w:rPr>
              <w:t>S</w:t>
            </w:r>
          </w:p>
        </w:tc>
        <w:tc>
          <w:tcPr>
            <w:tcW w:w="1222"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0.0021</w:t>
            </w:r>
          </w:p>
        </w:tc>
        <w:tc>
          <w:tcPr>
            <w:tcW w:w="1961" w:type="dxa"/>
            <w:vAlign w:val="center"/>
          </w:tcPr>
          <w:p>
            <w:pPr>
              <w:jc w:val="center"/>
              <w:rPr>
                <w:rFonts w:ascii="Times New Roman" w:hAnsi="Times New Roman" w:eastAsia="等线" w:cs="Times New Roman"/>
                <w:szCs w:val="21"/>
              </w:rPr>
            </w:pPr>
            <w:r>
              <w:rPr>
                <w:rFonts w:ascii="Times New Roman" w:hAnsi="Times New Roman" w:eastAsia="等线" w:cs="Times New Roman"/>
                <w:szCs w:val="21"/>
              </w:rPr>
              <w:t>0</w:t>
            </w:r>
          </w:p>
        </w:tc>
        <w:tc>
          <w:tcPr>
            <w:tcW w:w="1422" w:type="dxa"/>
            <w:vAlign w:val="center"/>
          </w:tcPr>
          <w:p>
            <w:pPr>
              <w:spacing w:line="240" w:lineRule="exact"/>
              <w:jc w:val="center"/>
              <w:rPr>
                <w:rFonts w:ascii="Times New Roman" w:hAnsi="Times New Roman" w:eastAsia="等线" w:cs="Times New Roman"/>
                <w:szCs w:val="21"/>
              </w:rPr>
            </w:pPr>
            <w:r>
              <w:rPr>
                <w:rFonts w:ascii="Times New Roman" w:hAnsi="Times New Roman" w:eastAsia="等线" w:cs="Times New Roman"/>
                <w:szCs w:val="21"/>
              </w:rPr>
              <w:t>0.0021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restart"/>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固废</w:t>
            </w:r>
          </w:p>
        </w:tc>
        <w:tc>
          <w:tcPr>
            <w:tcW w:w="833" w:type="dxa"/>
            <w:vMerge w:val="restart"/>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危险废物</w:t>
            </w:r>
          </w:p>
        </w:tc>
        <w:tc>
          <w:tcPr>
            <w:tcW w:w="2126"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含油污泥</w:t>
            </w:r>
          </w:p>
        </w:tc>
        <w:tc>
          <w:tcPr>
            <w:tcW w:w="122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17.2</w:t>
            </w:r>
          </w:p>
        </w:tc>
        <w:tc>
          <w:tcPr>
            <w:tcW w:w="1961" w:type="dxa"/>
            <w:vAlign w:val="center"/>
          </w:tcPr>
          <w:p>
            <w:pPr>
              <w:widowControl/>
              <w:jc w:val="center"/>
              <w:rPr>
                <w:rFonts w:ascii="Times New Roman" w:hAnsi="Times New Roman" w:eastAsia="等线" w:cs="Times New Roman"/>
                <w:szCs w:val="21"/>
              </w:rPr>
            </w:pPr>
            <w:r>
              <w:rPr>
                <w:rFonts w:ascii="Times New Roman" w:hAnsi="Times New Roman" w:eastAsia="等线" w:cs="Times New Roman"/>
                <w:szCs w:val="21"/>
              </w:rPr>
              <w:t>17.2</w:t>
            </w:r>
          </w:p>
        </w:tc>
        <w:tc>
          <w:tcPr>
            <w:tcW w:w="1422" w:type="dxa"/>
            <w:vAlign w:val="center"/>
          </w:tcPr>
          <w:p>
            <w:pPr>
              <w:pStyle w:val="52"/>
              <w:spacing w:line="240" w:lineRule="exact"/>
              <w:ind w:left="0"/>
              <w:jc w:val="center"/>
              <w:rPr>
                <w:rFonts w:ascii="Times New Roman" w:hAnsi="Times New Roman" w:eastAsia="宋体" w:cs="Times New Roman"/>
                <w:w w:val="99"/>
                <w:szCs w:val="21"/>
              </w:rPr>
            </w:pPr>
            <w:r>
              <w:rPr>
                <w:rFonts w:ascii="Times New Roman" w:hAnsi="Times New Roman" w:eastAsia="宋体"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pStyle w:val="52"/>
              <w:spacing w:line="240" w:lineRule="exact"/>
              <w:ind w:left="0"/>
              <w:jc w:val="center"/>
              <w:rPr>
                <w:rFonts w:ascii="Times New Roman" w:hAnsi="Times New Roman" w:eastAsia="宋体" w:cs="Times New Roman"/>
                <w:szCs w:val="21"/>
              </w:rPr>
            </w:pPr>
          </w:p>
        </w:tc>
        <w:tc>
          <w:tcPr>
            <w:tcW w:w="833" w:type="dxa"/>
            <w:vMerge w:val="continue"/>
            <w:vAlign w:val="center"/>
          </w:tcPr>
          <w:p>
            <w:pPr>
              <w:pStyle w:val="52"/>
              <w:spacing w:line="240" w:lineRule="exact"/>
              <w:ind w:left="0"/>
              <w:jc w:val="center"/>
              <w:rPr>
                <w:rFonts w:ascii="Times New Roman" w:hAnsi="Times New Roman" w:eastAsia="宋体" w:cs="Times New Roman"/>
                <w:szCs w:val="21"/>
              </w:rPr>
            </w:pPr>
          </w:p>
        </w:tc>
        <w:tc>
          <w:tcPr>
            <w:tcW w:w="2126"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含油残渣</w:t>
            </w:r>
          </w:p>
        </w:tc>
        <w:tc>
          <w:tcPr>
            <w:tcW w:w="122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4984</w:t>
            </w:r>
          </w:p>
        </w:tc>
        <w:tc>
          <w:tcPr>
            <w:tcW w:w="1961" w:type="dxa"/>
            <w:vAlign w:val="center"/>
          </w:tcPr>
          <w:p>
            <w:pPr>
              <w:jc w:val="center"/>
              <w:rPr>
                <w:rFonts w:ascii="Times New Roman" w:hAnsi="Times New Roman" w:eastAsia="等线" w:cs="Times New Roman"/>
                <w:szCs w:val="21"/>
              </w:rPr>
            </w:pPr>
            <w:r>
              <w:rPr>
                <w:rFonts w:ascii="Times New Roman" w:hAnsi="Times New Roman" w:eastAsia="等线" w:cs="Times New Roman"/>
                <w:szCs w:val="21"/>
              </w:rPr>
              <w:t>4984</w:t>
            </w:r>
          </w:p>
        </w:tc>
        <w:tc>
          <w:tcPr>
            <w:tcW w:w="1422" w:type="dxa"/>
            <w:vAlign w:val="center"/>
          </w:tcPr>
          <w:p>
            <w:pPr>
              <w:pStyle w:val="52"/>
              <w:spacing w:line="240" w:lineRule="exact"/>
              <w:ind w:left="0"/>
              <w:jc w:val="center"/>
              <w:rPr>
                <w:rFonts w:ascii="Times New Roman" w:hAnsi="Times New Roman" w:eastAsia="宋体" w:cs="Times New Roman"/>
                <w:w w:val="99"/>
                <w:szCs w:val="21"/>
              </w:rPr>
            </w:pPr>
            <w:r>
              <w:rPr>
                <w:rFonts w:ascii="Times New Roman" w:hAnsi="Times New Roman" w:eastAsia="宋体"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pStyle w:val="52"/>
              <w:spacing w:line="240" w:lineRule="exact"/>
              <w:ind w:left="0"/>
              <w:jc w:val="center"/>
              <w:rPr>
                <w:rFonts w:ascii="Times New Roman" w:hAnsi="Times New Roman" w:eastAsia="宋体" w:cs="Times New Roman"/>
                <w:szCs w:val="21"/>
              </w:rPr>
            </w:pPr>
          </w:p>
        </w:tc>
        <w:tc>
          <w:tcPr>
            <w:tcW w:w="833" w:type="dxa"/>
            <w:vMerge w:val="continue"/>
            <w:vAlign w:val="center"/>
          </w:tcPr>
          <w:p>
            <w:pPr>
              <w:pStyle w:val="52"/>
              <w:spacing w:line="240" w:lineRule="exact"/>
              <w:ind w:left="0"/>
              <w:jc w:val="center"/>
              <w:rPr>
                <w:rFonts w:ascii="Times New Roman" w:hAnsi="Times New Roman" w:eastAsia="宋体" w:cs="Times New Roman"/>
                <w:szCs w:val="21"/>
              </w:rPr>
            </w:pPr>
          </w:p>
        </w:tc>
        <w:tc>
          <w:tcPr>
            <w:tcW w:w="2126"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废滤布和含油抹布</w:t>
            </w:r>
          </w:p>
        </w:tc>
        <w:tc>
          <w:tcPr>
            <w:tcW w:w="1222" w:type="dxa"/>
            <w:vAlign w:val="center"/>
          </w:tcPr>
          <w:p>
            <w:pPr>
              <w:spacing w:line="240" w:lineRule="exact"/>
              <w:jc w:val="center"/>
              <w:rPr>
                <w:rFonts w:ascii="Times New Roman" w:hAnsi="Times New Roman" w:eastAsia="宋体" w:cs="Times New Roman"/>
                <w:kern w:val="0"/>
                <w:szCs w:val="21"/>
                <w:lang w:eastAsia="en-US"/>
              </w:rPr>
            </w:pPr>
            <w:r>
              <w:rPr>
                <w:rFonts w:ascii="Times New Roman" w:hAnsi="Times New Roman" w:eastAsia="宋体" w:cs="Times New Roman"/>
                <w:szCs w:val="21"/>
              </w:rPr>
              <w:t>1.5</w:t>
            </w:r>
          </w:p>
        </w:tc>
        <w:tc>
          <w:tcPr>
            <w:tcW w:w="1961" w:type="dxa"/>
            <w:vAlign w:val="center"/>
          </w:tcPr>
          <w:p>
            <w:pPr>
              <w:jc w:val="center"/>
              <w:rPr>
                <w:rFonts w:ascii="Times New Roman" w:hAnsi="Times New Roman" w:eastAsia="等线" w:cs="Times New Roman"/>
                <w:szCs w:val="21"/>
              </w:rPr>
            </w:pPr>
            <w:r>
              <w:rPr>
                <w:rFonts w:ascii="Times New Roman" w:hAnsi="Times New Roman" w:eastAsia="等线" w:cs="Times New Roman"/>
                <w:szCs w:val="21"/>
              </w:rPr>
              <w:t>1.5</w:t>
            </w:r>
          </w:p>
        </w:tc>
        <w:tc>
          <w:tcPr>
            <w:tcW w:w="1422" w:type="dxa"/>
            <w:vAlign w:val="center"/>
          </w:tcPr>
          <w:p>
            <w:pPr>
              <w:pStyle w:val="52"/>
              <w:spacing w:line="240" w:lineRule="exact"/>
              <w:ind w:left="0"/>
              <w:jc w:val="center"/>
              <w:rPr>
                <w:rFonts w:ascii="Times New Roman" w:hAnsi="Times New Roman" w:eastAsia="宋体" w:cs="Times New Roman"/>
                <w:w w:val="99"/>
                <w:szCs w:val="21"/>
              </w:rPr>
            </w:pPr>
            <w:r>
              <w:rPr>
                <w:rFonts w:ascii="Times New Roman" w:hAnsi="Times New Roman" w:eastAsia="宋体"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833"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2126"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废活性炭</w:t>
            </w:r>
          </w:p>
        </w:tc>
        <w:tc>
          <w:tcPr>
            <w:tcW w:w="1222" w:type="dxa"/>
            <w:vAlign w:val="center"/>
          </w:tcPr>
          <w:p>
            <w:pPr>
              <w:spacing w:line="240" w:lineRule="exact"/>
              <w:jc w:val="center"/>
              <w:rPr>
                <w:rFonts w:ascii="Times New Roman" w:hAnsi="Times New Roman" w:eastAsia="宋体" w:cs="Times New Roman"/>
                <w:kern w:val="0"/>
                <w:szCs w:val="21"/>
                <w:lang w:eastAsia="en-US"/>
              </w:rPr>
            </w:pPr>
            <w:r>
              <w:rPr>
                <w:rFonts w:hint="eastAsia" w:ascii="Times New Roman" w:hAnsi="Times New Roman" w:eastAsia="宋体" w:cs="Times New Roman"/>
                <w:szCs w:val="21"/>
              </w:rPr>
              <w:t>0.8</w:t>
            </w:r>
          </w:p>
        </w:tc>
        <w:tc>
          <w:tcPr>
            <w:tcW w:w="1961" w:type="dxa"/>
            <w:vAlign w:val="center"/>
          </w:tcPr>
          <w:p>
            <w:pPr>
              <w:jc w:val="center"/>
              <w:rPr>
                <w:rFonts w:ascii="Times New Roman" w:hAnsi="Times New Roman" w:eastAsia="等线" w:cs="Times New Roman"/>
                <w:szCs w:val="21"/>
              </w:rPr>
            </w:pPr>
            <w:r>
              <w:rPr>
                <w:rFonts w:ascii="Times New Roman" w:hAnsi="Times New Roman" w:eastAsia="等线" w:cs="Times New Roman"/>
                <w:szCs w:val="21"/>
              </w:rPr>
              <w:t>0.8</w:t>
            </w:r>
          </w:p>
        </w:tc>
        <w:tc>
          <w:tcPr>
            <w:tcW w:w="142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32" w:type="dxa"/>
            <w:vMerge w:val="continue"/>
            <w:vAlign w:val="center"/>
          </w:tcPr>
          <w:p>
            <w:pPr>
              <w:spacing w:line="240" w:lineRule="exact"/>
              <w:jc w:val="center"/>
              <w:rPr>
                <w:rFonts w:ascii="Times New Roman" w:hAnsi="Times New Roman" w:eastAsia="宋体" w:cs="Times New Roman"/>
                <w:kern w:val="0"/>
                <w:szCs w:val="21"/>
                <w:lang w:eastAsia="en-US"/>
              </w:rPr>
            </w:pPr>
          </w:p>
        </w:tc>
        <w:tc>
          <w:tcPr>
            <w:tcW w:w="2959" w:type="dxa"/>
            <w:gridSpan w:val="2"/>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生活垃圾</w:t>
            </w:r>
          </w:p>
        </w:tc>
        <w:tc>
          <w:tcPr>
            <w:tcW w:w="1222" w:type="dxa"/>
            <w:vAlign w:val="center"/>
          </w:tcPr>
          <w:p>
            <w:pPr>
              <w:pStyle w:val="52"/>
              <w:spacing w:line="240" w:lineRule="exact"/>
              <w:ind w:left="0"/>
              <w:jc w:val="center"/>
              <w:rPr>
                <w:rFonts w:ascii="Times New Roman" w:hAnsi="Times New Roman" w:eastAsia="宋体" w:cs="Times New Roman"/>
                <w:szCs w:val="21"/>
              </w:rPr>
            </w:pPr>
            <w:r>
              <w:rPr>
                <w:rFonts w:ascii="Times New Roman" w:hAnsi="Times New Roman" w:eastAsia="宋体" w:cs="Times New Roman"/>
                <w:szCs w:val="21"/>
              </w:rPr>
              <w:t>26.4</w:t>
            </w:r>
          </w:p>
        </w:tc>
        <w:tc>
          <w:tcPr>
            <w:tcW w:w="1961" w:type="dxa"/>
            <w:vAlign w:val="center"/>
          </w:tcPr>
          <w:p>
            <w:pPr>
              <w:spacing w:line="240" w:lineRule="exact"/>
              <w:jc w:val="center"/>
              <w:rPr>
                <w:rFonts w:ascii="Times New Roman" w:hAnsi="Times New Roman" w:eastAsia="宋体" w:cs="Times New Roman"/>
                <w:szCs w:val="21"/>
              </w:rPr>
            </w:pPr>
            <w:r>
              <w:rPr>
                <w:rFonts w:ascii="Times New Roman" w:hAnsi="Times New Roman" w:eastAsia="等线" w:cs="Times New Roman"/>
                <w:szCs w:val="21"/>
              </w:rPr>
              <w:t>26.4</w:t>
            </w:r>
          </w:p>
        </w:tc>
        <w:tc>
          <w:tcPr>
            <w:tcW w:w="1422" w:type="dxa"/>
            <w:vAlign w:val="center"/>
          </w:tcPr>
          <w:p>
            <w:pPr>
              <w:jc w:val="center"/>
              <w:rPr>
                <w:rFonts w:ascii="Times New Roman" w:hAnsi="Times New Roman" w:eastAsia="等线" w:cs="Times New Roman"/>
                <w:szCs w:val="21"/>
              </w:rPr>
            </w:pPr>
            <w:r>
              <w:rPr>
                <w:rFonts w:hint="eastAsia" w:ascii="Times New Roman" w:hAnsi="Times New Roman" w:eastAsia="等线" w:cs="Times New Roman"/>
                <w:szCs w:val="21"/>
              </w:rPr>
              <w:t>0</w:t>
            </w:r>
          </w:p>
        </w:tc>
      </w:tr>
    </w:tbl>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注：*为满足厌氧处理段工艺需要，在综合调节池内加入氮磷等营养盐。</w:t>
      </w:r>
    </w:p>
    <w:p>
      <w:pPr>
        <w:spacing w:line="480" w:lineRule="exact"/>
        <w:ind w:firstLine="480" w:firstLineChars="200"/>
        <w:rPr>
          <w:rFonts w:ascii="Times New Roman" w:hAnsi="Times New Roman" w:eastAsia="宋体" w:cs="Times New Roman"/>
          <w:sz w:val="24"/>
          <w:szCs w:val="24"/>
        </w:rPr>
      </w:pPr>
    </w:p>
    <w:p>
      <w:pPr>
        <w:spacing w:line="480" w:lineRule="exact"/>
        <w:ind w:firstLine="482" w:firstLineChars="200"/>
        <w:rPr>
          <w:rFonts w:ascii="Times New Roman" w:hAnsi="Times New Roman" w:eastAsia="宋体"/>
          <w:b/>
          <w:kern w:val="0"/>
          <w:sz w:val="24"/>
          <w:szCs w:val="24"/>
        </w:rPr>
      </w:pPr>
    </w:p>
    <w:p>
      <w:pPr>
        <w:spacing w:line="480" w:lineRule="exact"/>
        <w:ind w:firstLine="482" w:firstLineChars="200"/>
        <w:rPr>
          <w:rFonts w:ascii="Times New Roman" w:hAnsi="Times New Roman" w:eastAsia="宋体"/>
          <w:b/>
          <w:kern w:val="0"/>
          <w:sz w:val="24"/>
          <w:szCs w:val="24"/>
        </w:rPr>
        <w:sectPr>
          <w:pgSz w:w="11906" w:h="16838"/>
          <w:pgMar w:top="1440" w:right="1800" w:bottom="1440" w:left="1800" w:header="851" w:footer="992" w:gutter="0"/>
          <w:cols w:space="425" w:num="1"/>
          <w:docGrid w:type="lines" w:linePitch="312" w:charSpace="0"/>
        </w:sectPr>
      </w:pPr>
    </w:p>
    <w:p>
      <w:pPr>
        <w:pStyle w:val="38"/>
      </w:pPr>
      <w:bookmarkStart w:id="52" w:name="_Toc8391551"/>
      <w:r>
        <w:rPr>
          <w:rFonts w:hint="eastAsia"/>
        </w:rPr>
        <w:t>4</w:t>
      </w:r>
      <w:r>
        <w:t xml:space="preserve"> </w:t>
      </w:r>
      <w:r>
        <w:rPr>
          <w:rFonts w:hint="eastAsia"/>
        </w:rPr>
        <w:t>变更后环境影响分析</w:t>
      </w:r>
      <w:bookmarkEnd w:id="52"/>
    </w:p>
    <w:p>
      <w:pPr>
        <w:pStyle w:val="39"/>
        <w:rPr>
          <w:color w:val="auto"/>
        </w:rPr>
      </w:pPr>
      <w:bookmarkStart w:id="53" w:name="_Toc8391552"/>
      <w:r>
        <w:rPr>
          <w:rFonts w:hint="eastAsia"/>
          <w:color w:val="auto"/>
        </w:rPr>
        <w:t>4.1 环境空气影响分析</w:t>
      </w:r>
      <w:bookmarkEnd w:id="53"/>
    </w:p>
    <w:p>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项目变更后，不凝气的成分和产气量保持不变，故</w:t>
      </w:r>
      <w:r>
        <w:rPr>
          <w:rFonts w:ascii="Times New Roman" w:hAnsi="Times New Roman" w:eastAsia="宋体"/>
          <w:kern w:val="0"/>
          <w:sz w:val="24"/>
          <w:szCs w:val="24"/>
        </w:rPr>
        <w:t>减压炉</w:t>
      </w:r>
      <w:r>
        <w:rPr>
          <w:rFonts w:hint="eastAsia" w:ascii="Times New Roman" w:hAnsi="Times New Roman" w:eastAsia="宋体"/>
          <w:kern w:val="0"/>
          <w:sz w:val="24"/>
          <w:szCs w:val="24"/>
        </w:rPr>
        <w:t>产生的废气量及废气中的各污染物产排量不变。</w:t>
      </w:r>
      <w:r>
        <w:rPr>
          <w:rFonts w:ascii="Times New Roman" w:hAnsi="Times New Roman" w:eastAsia="宋体"/>
          <w:kern w:val="0"/>
          <w:sz w:val="24"/>
          <w:szCs w:val="24"/>
        </w:rPr>
        <w:t>项目</w:t>
      </w:r>
      <w:r>
        <w:rPr>
          <w:rFonts w:hint="eastAsia" w:ascii="Times New Roman" w:hAnsi="Times New Roman" w:eastAsia="宋体"/>
          <w:kern w:val="0"/>
          <w:sz w:val="24"/>
          <w:szCs w:val="24"/>
        </w:rPr>
        <w:t>拟采用1台导热油炉替代熔盐炉，</w:t>
      </w:r>
      <w:r>
        <w:rPr>
          <w:rFonts w:ascii="Times New Roman" w:hAnsi="Times New Roman" w:eastAsia="宋体"/>
          <w:kern w:val="0"/>
          <w:sz w:val="24"/>
          <w:szCs w:val="24"/>
        </w:rPr>
        <w:t>导热介质</w:t>
      </w:r>
      <w:r>
        <w:rPr>
          <w:rFonts w:hint="eastAsia" w:ascii="Times New Roman" w:hAnsi="Times New Roman" w:eastAsia="宋体"/>
          <w:kern w:val="0"/>
          <w:sz w:val="24"/>
          <w:szCs w:val="24"/>
        </w:rPr>
        <w:t>发生改变。由于项目工艺优化，缩短了工艺路线，去掉了薄膜蒸发及糠醛精制等装置，与原工艺相比，</w:t>
      </w:r>
      <w:r>
        <w:rPr>
          <w:rFonts w:ascii="Times New Roman" w:hAnsi="Times New Roman" w:eastAsia="宋体"/>
          <w:kern w:val="0"/>
          <w:sz w:val="24"/>
          <w:szCs w:val="24"/>
        </w:rPr>
        <w:t>减少</w:t>
      </w:r>
      <w:r>
        <w:rPr>
          <w:rFonts w:hint="eastAsia" w:ascii="Times New Roman" w:hAnsi="Times New Roman" w:eastAsia="宋体"/>
          <w:kern w:val="0"/>
          <w:sz w:val="24"/>
          <w:szCs w:val="24"/>
        </w:rPr>
        <w:t>了设备的换热量，从而减少了导热油炉天然气的消耗量，导热油炉产生的废气量及废气中的各污染物产排量减少。</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kern w:val="0"/>
          <w:sz w:val="24"/>
          <w:szCs w:val="24"/>
        </w:rPr>
        <w:t>考虑到项目变更后，废气</w:t>
      </w:r>
      <w:r>
        <w:rPr>
          <w:rFonts w:ascii="Times New Roman" w:hAnsi="Times New Roman" w:eastAsia="宋体"/>
          <w:kern w:val="0"/>
          <w:sz w:val="24"/>
          <w:szCs w:val="24"/>
        </w:rPr>
        <w:t>污染物</w:t>
      </w:r>
      <w:r>
        <w:rPr>
          <w:rFonts w:hint="eastAsia" w:ascii="Times New Roman" w:hAnsi="Times New Roman" w:eastAsia="宋体"/>
          <w:kern w:val="0"/>
          <w:sz w:val="24"/>
          <w:szCs w:val="24"/>
        </w:rPr>
        <w:t>排放量较原环评有所减少，本报告</w:t>
      </w:r>
      <w:r>
        <w:rPr>
          <w:rStyle w:val="62"/>
          <w:color w:val="auto"/>
        </w:rPr>
        <w:t>根据《环境影响评价技术导则  大气环境》（HJ2.2-2018）要求，</w:t>
      </w:r>
      <w:r>
        <w:rPr>
          <w:rFonts w:hint="eastAsia" w:ascii="Times New Roman" w:hAnsi="Times New Roman" w:eastAsia="宋体"/>
          <w:kern w:val="0"/>
          <w:sz w:val="24"/>
          <w:szCs w:val="24"/>
        </w:rPr>
        <w:t>对其进行变更后的进一步环境影响预测</w:t>
      </w:r>
      <w:r>
        <w:rPr>
          <w:rFonts w:hint="eastAsia" w:ascii="Times New Roman" w:hAnsi="Times New Roman" w:eastAsia="宋体" w:cs="Times New Roman"/>
          <w:sz w:val="24"/>
          <w:szCs w:val="24"/>
        </w:rPr>
        <w:t>。</w:t>
      </w:r>
    </w:p>
    <w:p>
      <w:pPr>
        <w:pStyle w:val="40"/>
        <w:rPr>
          <w:snapToGrid w:val="0"/>
          <w:color w:val="auto"/>
        </w:rPr>
      </w:pPr>
      <w:bookmarkStart w:id="54" w:name="_Toc8391553"/>
      <w:r>
        <w:rPr>
          <w:snapToGrid w:val="0"/>
          <w:color w:val="auto"/>
        </w:rPr>
        <w:t>4.1.1</w:t>
      </w:r>
      <w:r>
        <w:rPr>
          <w:rFonts w:hint="eastAsia"/>
          <w:snapToGrid w:val="0"/>
          <w:color w:val="auto"/>
        </w:rPr>
        <w:t>预测模式</w:t>
      </w:r>
      <w:bookmarkEnd w:id="54"/>
    </w:p>
    <w:p>
      <w:pPr>
        <w:spacing w:line="480" w:lineRule="exact"/>
        <w:ind w:firstLine="480" w:firstLineChars="200"/>
        <w:rPr>
          <w:rFonts w:ascii="Times New Roman" w:hAnsi="Times New Roman" w:eastAsia="宋体"/>
          <w:kern w:val="0"/>
          <w:sz w:val="24"/>
          <w:szCs w:val="24"/>
        </w:rPr>
      </w:pPr>
      <w:r>
        <w:rPr>
          <w:rFonts w:ascii="Times New Roman" w:hAnsi="Times New Roman" w:eastAsia="宋体"/>
          <w:kern w:val="0"/>
          <w:sz w:val="24"/>
          <w:szCs w:val="24"/>
        </w:rPr>
        <w:t>本评价采用《环境影响评价技术导则 大气环境》（HJ2.2-2018）推荐模式清单中的AERMOD进一步预测模式进行预测计算。预测软件采用宁波六五软件工作室开发的EIAProA大气预测软件进行预测计算。</w:t>
      </w:r>
    </w:p>
    <w:p>
      <w:pPr>
        <w:pStyle w:val="40"/>
        <w:rPr>
          <w:snapToGrid w:val="0"/>
          <w:color w:val="auto"/>
        </w:rPr>
      </w:pPr>
      <w:bookmarkStart w:id="55" w:name="_Toc8391554"/>
      <w:r>
        <w:rPr>
          <w:rFonts w:hint="eastAsia"/>
          <w:snapToGrid w:val="0"/>
          <w:color w:val="auto"/>
        </w:rPr>
        <w:t>4</w:t>
      </w:r>
      <w:r>
        <w:rPr>
          <w:snapToGrid w:val="0"/>
          <w:color w:val="auto"/>
        </w:rPr>
        <w:t>.1.2</w:t>
      </w:r>
      <w:r>
        <w:rPr>
          <w:rFonts w:hint="eastAsia"/>
          <w:snapToGrid w:val="0"/>
          <w:color w:val="auto"/>
        </w:rPr>
        <w:t>模式参数选择</w:t>
      </w:r>
      <w:bookmarkEnd w:id="55"/>
    </w:p>
    <w:p>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AERMOD系统包括AERMOD扩散模式、AERMET气象预处理和AERMAP地形预处理模块。AERMET气象预处理所需的气象资料来自于濮阳市地面气象数据和濮阳市低空气象数据。地面气象数据来自于濮阳市气象站的地面气象数据，时间为2016年1月1日到2016年12月31日。中尺度探空气象数据来自于中尺度数值预报模式MM5的模拟结果，时间为2016年1月1日到2016年12月31日。AERMAP地形预处理所需的DEM数据由</w:t>
      </w:r>
      <w:r>
        <w:fldChar w:fldCharType="begin"/>
      </w:r>
      <w:r>
        <w:instrText xml:space="preserve"> HYPERLINK "http://srtm.csi.cgiar.org/" </w:instrText>
      </w:r>
      <w:r>
        <w:fldChar w:fldCharType="separate"/>
      </w:r>
      <w:r>
        <w:rPr>
          <w:rFonts w:ascii="Times New Roman" w:hAnsi="Times New Roman" w:eastAsia="宋体"/>
          <w:kern w:val="0"/>
          <w:sz w:val="24"/>
          <w:szCs w:val="24"/>
        </w:rPr>
        <w:t>http://srtm.csi.cgiar.org/</w:t>
      </w:r>
      <w:r>
        <w:rPr>
          <w:rFonts w:ascii="Times New Roman" w:hAnsi="Times New Roman" w:eastAsia="宋体"/>
          <w:kern w:val="0"/>
          <w:sz w:val="24"/>
          <w:szCs w:val="24"/>
        </w:rPr>
        <w:fldChar w:fldCharType="end"/>
      </w:r>
      <w:r>
        <w:rPr>
          <w:rFonts w:hint="eastAsia" w:ascii="Times New Roman" w:hAnsi="Times New Roman" w:eastAsia="宋体"/>
          <w:kern w:val="0"/>
          <w:sz w:val="24"/>
          <w:szCs w:val="24"/>
        </w:rPr>
        <w:t>提供。</w:t>
      </w:r>
    </w:p>
    <w:p>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化学转化问题。在计算日平均浓度或年平均浓度时均考虑了</w:t>
      </w:r>
      <w:r>
        <w:rPr>
          <w:rFonts w:ascii="Times New Roman" w:hAnsi="Times New Roman" w:eastAsia="宋体"/>
          <w:kern w:val="0"/>
          <w:sz w:val="24"/>
          <w:szCs w:val="24"/>
        </w:rPr>
        <w:t>SO</w:t>
      </w:r>
      <w:r>
        <w:rPr>
          <w:rFonts w:ascii="Times New Roman" w:hAnsi="Times New Roman" w:eastAsia="宋体"/>
          <w:kern w:val="0"/>
          <w:sz w:val="24"/>
          <w:szCs w:val="24"/>
          <w:vertAlign w:val="subscript"/>
        </w:rPr>
        <w:t>2</w:t>
      </w:r>
      <w:r>
        <w:rPr>
          <w:rFonts w:hint="eastAsia" w:ascii="Times New Roman" w:hAnsi="Times New Roman" w:eastAsia="宋体"/>
          <w:kern w:val="0"/>
          <w:sz w:val="24"/>
          <w:szCs w:val="24"/>
        </w:rPr>
        <w:t>的化学转化，其半衰期为</w:t>
      </w:r>
      <w:r>
        <w:rPr>
          <w:rFonts w:ascii="Times New Roman" w:hAnsi="Times New Roman" w:eastAsia="宋体"/>
          <w:kern w:val="0"/>
          <w:sz w:val="24"/>
          <w:szCs w:val="24"/>
        </w:rPr>
        <w:t>4h</w:t>
      </w:r>
      <w:r>
        <w:rPr>
          <w:rFonts w:hint="eastAsia" w:ascii="Times New Roman" w:hAnsi="Times New Roman" w:eastAsia="宋体"/>
          <w:kern w:val="0"/>
          <w:sz w:val="24"/>
          <w:szCs w:val="24"/>
        </w:rPr>
        <w:t>。按照技术导则规定，在计算小时或日平均质量浓度时，假定</w:t>
      </w:r>
      <w:r>
        <w:rPr>
          <w:rFonts w:ascii="Times New Roman" w:hAnsi="Times New Roman" w:eastAsia="宋体"/>
          <w:kern w:val="0"/>
          <w:sz w:val="24"/>
          <w:szCs w:val="24"/>
        </w:rPr>
        <w:t>Q</w:t>
      </w:r>
      <w:r>
        <w:rPr>
          <w:rFonts w:hint="eastAsia" w:ascii="Times New Roman" w:hAnsi="Times New Roman" w:eastAsia="宋体"/>
          <w:kern w:val="0"/>
          <w:sz w:val="24"/>
          <w:szCs w:val="24"/>
        </w:rPr>
        <w:t>（</w:t>
      </w:r>
      <w:r>
        <w:rPr>
          <w:rFonts w:ascii="Times New Roman" w:hAnsi="Times New Roman" w:eastAsia="宋体"/>
          <w:kern w:val="0"/>
          <w:sz w:val="24"/>
          <w:szCs w:val="24"/>
        </w:rPr>
        <w:t>NO</w:t>
      </w:r>
      <w:r>
        <w:rPr>
          <w:rFonts w:ascii="Times New Roman" w:hAnsi="Times New Roman" w:eastAsia="宋体"/>
          <w:kern w:val="0"/>
          <w:sz w:val="24"/>
          <w:szCs w:val="24"/>
          <w:vertAlign w:val="subscript"/>
        </w:rPr>
        <w:t>2</w:t>
      </w:r>
      <w:r>
        <w:rPr>
          <w:rFonts w:hint="eastAsia" w:ascii="Times New Roman" w:hAnsi="Times New Roman" w:eastAsia="宋体"/>
          <w:kern w:val="0"/>
          <w:sz w:val="24"/>
          <w:szCs w:val="24"/>
        </w:rPr>
        <w:t>）</w:t>
      </w:r>
      <w:r>
        <w:rPr>
          <w:rFonts w:ascii="Times New Roman" w:hAnsi="Times New Roman" w:eastAsia="宋体"/>
          <w:kern w:val="0"/>
          <w:sz w:val="24"/>
          <w:szCs w:val="24"/>
        </w:rPr>
        <w:t>/Q</w:t>
      </w:r>
      <w:r>
        <w:rPr>
          <w:rFonts w:hint="eastAsia" w:ascii="Times New Roman" w:hAnsi="Times New Roman" w:eastAsia="宋体"/>
          <w:kern w:val="0"/>
          <w:sz w:val="24"/>
          <w:szCs w:val="24"/>
        </w:rPr>
        <w:t>（</w:t>
      </w:r>
      <w:r>
        <w:rPr>
          <w:rFonts w:ascii="Times New Roman" w:hAnsi="Times New Roman" w:eastAsia="宋体"/>
          <w:kern w:val="0"/>
          <w:sz w:val="24"/>
          <w:szCs w:val="24"/>
        </w:rPr>
        <w:t>NO</w:t>
      </w:r>
      <w:r>
        <w:rPr>
          <w:rFonts w:hint="eastAsia" w:ascii="Times New Roman" w:hAnsi="Times New Roman" w:eastAsia="宋体"/>
          <w:kern w:val="0"/>
          <w:sz w:val="24"/>
          <w:szCs w:val="24"/>
        </w:rPr>
        <w:t>x）</w:t>
      </w:r>
      <w:r>
        <w:rPr>
          <w:rFonts w:ascii="Times New Roman" w:hAnsi="Times New Roman" w:eastAsia="宋体"/>
          <w:kern w:val="0"/>
          <w:sz w:val="24"/>
          <w:szCs w:val="24"/>
        </w:rPr>
        <w:t>=0.9</w:t>
      </w:r>
      <w:r>
        <w:rPr>
          <w:rFonts w:hint="eastAsia" w:ascii="Times New Roman" w:hAnsi="Times New Roman" w:eastAsia="宋体"/>
          <w:kern w:val="0"/>
          <w:sz w:val="24"/>
          <w:szCs w:val="24"/>
        </w:rPr>
        <w:t>；在计算年平均质量浓度时，可以假定</w:t>
      </w:r>
      <w:r>
        <w:rPr>
          <w:rFonts w:ascii="Times New Roman" w:hAnsi="Times New Roman" w:eastAsia="宋体"/>
          <w:kern w:val="0"/>
          <w:sz w:val="24"/>
          <w:szCs w:val="24"/>
        </w:rPr>
        <w:t>Q</w:t>
      </w:r>
      <w:r>
        <w:rPr>
          <w:rFonts w:hint="eastAsia" w:ascii="Times New Roman" w:hAnsi="Times New Roman" w:eastAsia="宋体"/>
          <w:kern w:val="0"/>
          <w:sz w:val="24"/>
          <w:szCs w:val="24"/>
        </w:rPr>
        <w:t>（</w:t>
      </w:r>
      <w:r>
        <w:rPr>
          <w:rFonts w:ascii="Times New Roman" w:hAnsi="Times New Roman" w:eastAsia="宋体"/>
          <w:kern w:val="0"/>
          <w:sz w:val="24"/>
          <w:szCs w:val="24"/>
        </w:rPr>
        <w:t>NO</w:t>
      </w:r>
      <w:r>
        <w:rPr>
          <w:rFonts w:ascii="Times New Roman" w:hAnsi="Times New Roman" w:eastAsia="宋体"/>
          <w:kern w:val="0"/>
          <w:sz w:val="24"/>
          <w:szCs w:val="24"/>
          <w:vertAlign w:val="subscript"/>
        </w:rPr>
        <w:t>2</w:t>
      </w:r>
      <w:r>
        <w:rPr>
          <w:rFonts w:hint="eastAsia" w:ascii="Times New Roman" w:hAnsi="Times New Roman" w:eastAsia="宋体"/>
          <w:kern w:val="0"/>
          <w:sz w:val="24"/>
          <w:szCs w:val="24"/>
        </w:rPr>
        <w:t>）</w:t>
      </w:r>
      <w:r>
        <w:rPr>
          <w:rFonts w:ascii="Times New Roman" w:hAnsi="Times New Roman" w:eastAsia="宋体"/>
          <w:kern w:val="0"/>
          <w:sz w:val="24"/>
          <w:szCs w:val="24"/>
        </w:rPr>
        <w:t>/Q</w:t>
      </w:r>
      <w:r>
        <w:rPr>
          <w:rFonts w:hint="eastAsia" w:ascii="Times New Roman" w:hAnsi="Times New Roman" w:eastAsia="宋体"/>
          <w:kern w:val="0"/>
          <w:sz w:val="24"/>
          <w:szCs w:val="24"/>
        </w:rPr>
        <w:t>（</w:t>
      </w:r>
      <w:r>
        <w:rPr>
          <w:rFonts w:ascii="Times New Roman" w:hAnsi="Times New Roman" w:eastAsia="宋体"/>
          <w:kern w:val="0"/>
          <w:sz w:val="24"/>
          <w:szCs w:val="24"/>
        </w:rPr>
        <w:t>NO</w:t>
      </w:r>
      <w:r>
        <w:rPr>
          <w:rFonts w:hint="eastAsia" w:ascii="Times New Roman" w:hAnsi="Times New Roman" w:eastAsia="宋体"/>
          <w:kern w:val="0"/>
          <w:sz w:val="24"/>
          <w:szCs w:val="24"/>
        </w:rPr>
        <w:t>x）</w:t>
      </w:r>
      <w:r>
        <w:rPr>
          <w:rFonts w:ascii="Times New Roman" w:hAnsi="Times New Roman" w:eastAsia="宋体"/>
          <w:kern w:val="0"/>
          <w:sz w:val="24"/>
          <w:szCs w:val="24"/>
        </w:rPr>
        <w:t>=0.75</w:t>
      </w:r>
      <w:r>
        <w:rPr>
          <w:rFonts w:hint="eastAsia" w:ascii="Times New Roman" w:hAnsi="Times New Roman" w:eastAsia="宋体"/>
          <w:kern w:val="0"/>
          <w:sz w:val="24"/>
          <w:szCs w:val="24"/>
        </w:rPr>
        <w:t>。</w:t>
      </w:r>
    </w:p>
    <w:p>
      <w:pPr>
        <w:spacing w:line="480" w:lineRule="exact"/>
        <w:ind w:firstLine="480" w:firstLineChars="200"/>
        <w:rPr>
          <w:rFonts w:ascii="Times New Roman" w:hAnsi="Times New Roman" w:eastAsia="宋体"/>
          <w:kern w:val="0"/>
          <w:sz w:val="24"/>
          <w:szCs w:val="24"/>
        </w:rPr>
      </w:pPr>
      <w:r>
        <w:rPr>
          <w:rFonts w:ascii="Times New Roman" w:hAnsi="Times New Roman" w:eastAsia="宋体"/>
          <w:kern w:val="0"/>
          <w:sz w:val="24"/>
          <w:szCs w:val="24"/>
        </w:rPr>
        <w:t>模式中地表参数见表4.1-1。</w:t>
      </w:r>
    </w:p>
    <w:p>
      <w:pPr>
        <w:spacing w:line="480" w:lineRule="exact"/>
        <w:ind w:firstLine="480" w:firstLineChars="200"/>
        <w:rPr>
          <w:rFonts w:ascii="Times New Roman" w:hAnsi="Times New Roman" w:eastAsia="黑体" w:cs="Times New Roman"/>
          <w:sz w:val="24"/>
        </w:rPr>
      </w:pPr>
      <w:r>
        <w:rPr>
          <w:rFonts w:hint="eastAsia" w:ascii="Times New Roman" w:hAnsi="Times New Roman" w:eastAsia="黑体" w:cs="Times New Roman"/>
          <w:sz w:val="24"/>
        </w:rPr>
        <w:t>表</w:t>
      </w:r>
      <w:r>
        <w:rPr>
          <w:rFonts w:ascii="Times New Roman" w:hAnsi="Times New Roman" w:eastAsia="黑体" w:cs="Times New Roman"/>
          <w:sz w:val="24"/>
        </w:rPr>
        <w:t>4.1-1</w:t>
      </w:r>
      <w:r>
        <w:rPr>
          <w:rFonts w:hint="eastAsia" w:ascii="Times New Roman" w:hAnsi="Times New Roman" w:eastAsia="黑体" w:cs="Times New Roman"/>
          <w:sz w:val="24"/>
        </w:rPr>
        <w:t xml:space="preserve">           模式中地表参数的选取一览表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1"/>
        <w:gridCol w:w="2565"/>
        <w:gridCol w:w="2219"/>
        <w:gridCol w:w="20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5" w:hRule="atLeast"/>
        </w:trPr>
        <w:tc>
          <w:tcPr>
            <w:tcW w:w="168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季节</w:t>
            </w:r>
          </w:p>
        </w:tc>
        <w:tc>
          <w:tcPr>
            <w:tcW w:w="256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ALBEDO参数</w:t>
            </w:r>
          </w:p>
        </w:tc>
        <w:tc>
          <w:tcPr>
            <w:tcW w:w="221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BOWEN参数</w:t>
            </w:r>
          </w:p>
        </w:tc>
        <w:tc>
          <w:tcPr>
            <w:tcW w:w="205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地表粗糙度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7" w:hRule="atLeast"/>
        </w:trPr>
        <w:tc>
          <w:tcPr>
            <w:tcW w:w="168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冬季</w:t>
            </w:r>
          </w:p>
        </w:tc>
        <w:tc>
          <w:tcPr>
            <w:tcW w:w="256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0.60</w:t>
            </w:r>
          </w:p>
        </w:tc>
        <w:tc>
          <w:tcPr>
            <w:tcW w:w="221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1.5</w:t>
            </w:r>
          </w:p>
        </w:tc>
        <w:tc>
          <w:tcPr>
            <w:tcW w:w="205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2" w:hRule="atLeast"/>
        </w:trPr>
        <w:tc>
          <w:tcPr>
            <w:tcW w:w="168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春季</w:t>
            </w:r>
          </w:p>
        </w:tc>
        <w:tc>
          <w:tcPr>
            <w:tcW w:w="256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0.14</w:t>
            </w:r>
          </w:p>
        </w:tc>
        <w:tc>
          <w:tcPr>
            <w:tcW w:w="221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0.3</w:t>
            </w:r>
          </w:p>
        </w:tc>
        <w:tc>
          <w:tcPr>
            <w:tcW w:w="205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1" w:hRule="atLeast"/>
        </w:trPr>
        <w:tc>
          <w:tcPr>
            <w:tcW w:w="168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夏季</w:t>
            </w:r>
          </w:p>
        </w:tc>
        <w:tc>
          <w:tcPr>
            <w:tcW w:w="256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0.20</w:t>
            </w:r>
          </w:p>
        </w:tc>
        <w:tc>
          <w:tcPr>
            <w:tcW w:w="221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0.5</w:t>
            </w:r>
          </w:p>
        </w:tc>
        <w:tc>
          <w:tcPr>
            <w:tcW w:w="205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0" w:hRule="atLeast"/>
        </w:trPr>
        <w:tc>
          <w:tcPr>
            <w:tcW w:w="168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秋季</w:t>
            </w:r>
          </w:p>
        </w:tc>
        <w:tc>
          <w:tcPr>
            <w:tcW w:w="256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0.18</w:t>
            </w:r>
          </w:p>
        </w:tc>
        <w:tc>
          <w:tcPr>
            <w:tcW w:w="221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0.7</w:t>
            </w:r>
          </w:p>
        </w:tc>
        <w:tc>
          <w:tcPr>
            <w:tcW w:w="205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0.05</w:t>
            </w:r>
          </w:p>
        </w:tc>
      </w:tr>
    </w:tbl>
    <w:p>
      <w:pPr>
        <w:pStyle w:val="40"/>
        <w:rPr>
          <w:snapToGrid w:val="0"/>
          <w:color w:val="auto"/>
        </w:rPr>
      </w:pPr>
      <w:bookmarkStart w:id="56" w:name="_Toc8391555"/>
      <w:r>
        <w:rPr>
          <w:rFonts w:hint="eastAsia"/>
          <w:snapToGrid w:val="0"/>
          <w:color w:val="auto"/>
        </w:rPr>
        <w:t>4</w:t>
      </w:r>
      <w:r>
        <w:rPr>
          <w:snapToGrid w:val="0"/>
          <w:color w:val="auto"/>
        </w:rPr>
        <w:t>.1.3</w:t>
      </w:r>
      <w:r>
        <w:rPr>
          <w:rFonts w:hint="eastAsia"/>
          <w:snapToGrid w:val="0"/>
          <w:color w:val="auto"/>
        </w:rPr>
        <w:t>预测因子</w:t>
      </w:r>
      <w:bookmarkEnd w:id="56"/>
    </w:p>
    <w:p>
      <w:pPr>
        <w:spacing w:line="480" w:lineRule="exact"/>
        <w:ind w:firstLine="480" w:firstLineChars="200"/>
        <w:rPr>
          <w:rFonts w:ascii="Times New Roman" w:hAnsi="宋体" w:eastAsia="宋体" w:cs="Times New Roman"/>
          <w:bCs/>
          <w:sz w:val="24"/>
          <w:szCs w:val="24"/>
        </w:rPr>
      </w:pPr>
      <w:r>
        <w:rPr>
          <w:rFonts w:hint="eastAsia" w:ascii="Times New Roman" w:hAnsi="宋体" w:eastAsia="宋体" w:cs="Times New Roman"/>
          <w:bCs/>
          <w:sz w:val="24"/>
          <w:szCs w:val="24"/>
        </w:rPr>
        <w:t>根据本项目废气污染物排放特点，本项目</w:t>
      </w:r>
      <w:r>
        <w:rPr>
          <w:rFonts w:ascii="Times New Roman" w:hAnsi="宋体" w:eastAsia="宋体" w:cs="Times New Roman"/>
          <w:bCs/>
          <w:sz w:val="24"/>
          <w:szCs w:val="24"/>
        </w:rPr>
        <w:t>预测因子选取</w:t>
      </w:r>
      <w:r>
        <w:rPr>
          <w:rFonts w:ascii="Times New Roman" w:hAnsi="Times New Roman" w:eastAsia="宋体" w:cs="Times New Roman"/>
          <w:sz w:val="24"/>
        </w:rPr>
        <w:t>PM</w:t>
      </w:r>
      <w:r>
        <w:rPr>
          <w:rFonts w:ascii="Times New Roman" w:hAnsi="Times New Roman" w:eastAsia="宋体" w:cs="Times New Roman"/>
          <w:sz w:val="24"/>
          <w:vertAlign w:val="subscript"/>
        </w:rPr>
        <w:t>10</w:t>
      </w:r>
      <w:r>
        <w:rPr>
          <w:rFonts w:hint="eastAsia" w:ascii="Times New Roman" w:hAnsi="宋体" w:eastAsia="宋体" w:cs="Times New Roman"/>
          <w:bCs/>
          <w:sz w:val="24"/>
          <w:szCs w:val="24"/>
        </w:rPr>
        <w:t>、</w:t>
      </w:r>
      <w:r>
        <w:rPr>
          <w:rFonts w:ascii="Times New Roman" w:hAnsi="Times New Roman" w:eastAsia="SimSun-ExtB" w:cs="Times New Roman"/>
          <w:kern w:val="0"/>
          <w:szCs w:val="21"/>
        </w:rPr>
        <w:t>SO</w:t>
      </w:r>
      <w:r>
        <w:rPr>
          <w:rFonts w:ascii="Times New Roman" w:hAnsi="Times New Roman" w:eastAsia="SimSun-ExtB" w:cs="Times New Roman"/>
          <w:kern w:val="0"/>
          <w:szCs w:val="21"/>
          <w:vertAlign w:val="subscript"/>
        </w:rPr>
        <w:t>2</w:t>
      </w:r>
      <w:r>
        <w:rPr>
          <w:rFonts w:hint="eastAsia" w:ascii="Times New Roman" w:hAnsi="宋体" w:eastAsia="宋体" w:cs="Times New Roman"/>
          <w:bCs/>
          <w:sz w:val="24"/>
          <w:szCs w:val="24"/>
        </w:rPr>
        <w:t>、</w:t>
      </w:r>
      <w:r>
        <w:rPr>
          <w:rFonts w:ascii="Times New Roman" w:hAnsi="Times New Roman" w:eastAsia="SimSun-ExtB" w:cs="Times New Roman"/>
          <w:kern w:val="0"/>
          <w:szCs w:val="21"/>
        </w:rPr>
        <w:t>NOx</w:t>
      </w:r>
      <w:r>
        <w:rPr>
          <w:rFonts w:hint="eastAsia" w:ascii="Times New Roman" w:hAnsi="宋体" w:eastAsia="宋体" w:cs="Times New Roman"/>
          <w:bCs/>
          <w:sz w:val="24"/>
          <w:szCs w:val="24"/>
        </w:rPr>
        <w:t>、</w:t>
      </w:r>
      <w:r>
        <w:rPr>
          <w:rFonts w:ascii="Times New Roman" w:hAnsi="Times New Roman" w:eastAsia="宋体" w:cs="Times New Roman"/>
          <w:sz w:val="24"/>
        </w:rPr>
        <w:t>NH</w:t>
      </w:r>
      <w:r>
        <w:rPr>
          <w:rFonts w:ascii="Times New Roman" w:hAnsi="Times New Roman" w:eastAsia="宋体" w:cs="Times New Roman"/>
          <w:sz w:val="24"/>
          <w:vertAlign w:val="subscript"/>
        </w:rPr>
        <w:t>3</w:t>
      </w:r>
      <w:r>
        <w:rPr>
          <w:rFonts w:ascii="Times New Roman" w:hAnsi="Times New Roman" w:eastAsia="宋体" w:cs="Times New Roman"/>
          <w:sz w:val="24"/>
        </w:rPr>
        <w:t>、H</w:t>
      </w:r>
      <w:r>
        <w:rPr>
          <w:rFonts w:ascii="Times New Roman" w:hAnsi="Times New Roman" w:eastAsia="宋体" w:cs="Times New Roman"/>
          <w:sz w:val="24"/>
          <w:vertAlign w:val="subscript"/>
        </w:rPr>
        <w:t>2</w:t>
      </w:r>
      <w:r>
        <w:rPr>
          <w:rFonts w:ascii="Times New Roman" w:hAnsi="Times New Roman" w:eastAsia="宋体" w:cs="Times New Roman"/>
          <w:sz w:val="24"/>
        </w:rPr>
        <w:t>S、非甲烷总烃</w:t>
      </w:r>
      <w:r>
        <w:rPr>
          <w:rFonts w:hint="eastAsia" w:ascii="Times New Roman" w:hAnsi="宋体" w:eastAsia="宋体" w:cs="Times New Roman"/>
          <w:bCs/>
          <w:sz w:val="24"/>
          <w:szCs w:val="24"/>
        </w:rPr>
        <w:t>六项</w:t>
      </w:r>
      <w:r>
        <w:rPr>
          <w:rFonts w:ascii="Times New Roman" w:hAnsi="宋体" w:eastAsia="宋体" w:cs="Times New Roman"/>
          <w:bCs/>
          <w:sz w:val="24"/>
          <w:szCs w:val="24"/>
        </w:rPr>
        <w:t>。</w:t>
      </w:r>
    </w:p>
    <w:p>
      <w:pPr>
        <w:pStyle w:val="40"/>
        <w:rPr>
          <w:snapToGrid w:val="0"/>
          <w:color w:val="auto"/>
        </w:rPr>
      </w:pPr>
      <w:bookmarkStart w:id="57" w:name="_Toc8391556"/>
      <w:r>
        <w:rPr>
          <w:rFonts w:hint="eastAsia"/>
          <w:snapToGrid w:val="0"/>
          <w:color w:val="auto"/>
        </w:rPr>
        <w:t>4</w:t>
      </w:r>
      <w:r>
        <w:rPr>
          <w:snapToGrid w:val="0"/>
          <w:color w:val="auto"/>
        </w:rPr>
        <w:t>.1.4</w:t>
      </w:r>
      <w:r>
        <w:rPr>
          <w:rFonts w:hint="eastAsia"/>
          <w:snapToGrid w:val="0"/>
          <w:color w:val="auto"/>
        </w:rPr>
        <w:t>污染源</w:t>
      </w:r>
      <w:bookmarkEnd w:id="57"/>
    </w:p>
    <w:p>
      <w:pPr>
        <w:spacing w:line="480" w:lineRule="exact"/>
        <w:ind w:firstLine="480" w:firstLineChars="200"/>
        <w:rPr>
          <w:rFonts w:ascii="Times New Roman" w:hAnsi="宋体" w:eastAsia="宋体" w:cs="Times New Roman"/>
          <w:bCs/>
          <w:sz w:val="24"/>
          <w:szCs w:val="24"/>
        </w:rPr>
      </w:pPr>
      <w:r>
        <w:rPr>
          <w:rFonts w:hint="eastAsia" w:ascii="Times New Roman" w:hAnsi="宋体" w:eastAsia="宋体" w:cs="Times New Roman"/>
          <w:bCs/>
          <w:sz w:val="24"/>
          <w:szCs w:val="24"/>
        </w:rPr>
        <w:t>根据工程分析，本项目废气源强排放参数见表</w:t>
      </w:r>
      <w:r>
        <w:rPr>
          <w:rFonts w:ascii="Times New Roman" w:hAnsi="宋体" w:eastAsia="宋体" w:cs="Times New Roman"/>
          <w:bCs/>
          <w:sz w:val="24"/>
          <w:szCs w:val="24"/>
        </w:rPr>
        <w:t>4.1</w:t>
      </w:r>
      <w:r>
        <w:rPr>
          <w:rFonts w:hint="eastAsia" w:ascii="Times New Roman" w:hAnsi="宋体" w:eastAsia="宋体" w:cs="Times New Roman"/>
          <w:bCs/>
          <w:sz w:val="24"/>
          <w:szCs w:val="24"/>
        </w:rPr>
        <w:t>-</w:t>
      </w:r>
      <w:r>
        <w:rPr>
          <w:rFonts w:ascii="Times New Roman" w:hAnsi="宋体" w:eastAsia="宋体" w:cs="Times New Roman"/>
          <w:bCs/>
          <w:sz w:val="24"/>
          <w:szCs w:val="24"/>
        </w:rPr>
        <w:t>2</w:t>
      </w:r>
      <w:r>
        <w:rPr>
          <w:rFonts w:hint="eastAsia" w:ascii="Times New Roman" w:hAnsi="宋体" w:eastAsia="宋体" w:cs="Times New Roman"/>
          <w:bCs/>
          <w:sz w:val="24"/>
          <w:szCs w:val="24"/>
        </w:rPr>
        <w:t>。大气评价工作等级、范围确定见</w:t>
      </w:r>
      <w:r>
        <w:rPr>
          <w:rFonts w:ascii="Times New Roman" w:hAnsi="宋体" w:eastAsia="宋体" w:cs="Times New Roman"/>
          <w:bCs/>
          <w:sz w:val="24"/>
          <w:szCs w:val="24"/>
        </w:rPr>
        <w:t>表4.1-3</w:t>
      </w:r>
      <w:r>
        <w:rPr>
          <w:rFonts w:hint="eastAsia" w:ascii="Times New Roman" w:hAnsi="宋体" w:eastAsia="宋体" w:cs="Times New Roman"/>
          <w:bCs/>
          <w:sz w:val="24"/>
          <w:szCs w:val="24"/>
        </w:rPr>
        <w:t>。</w:t>
      </w:r>
    </w:p>
    <w:p>
      <w:pPr>
        <w:spacing w:line="480" w:lineRule="exact"/>
        <w:ind w:firstLine="480" w:firstLineChars="200"/>
        <w:rPr>
          <w:rFonts w:ascii="Times New Roman" w:hAnsi="宋体" w:eastAsia="宋体" w:cs="Times New Roman"/>
          <w:bCs/>
          <w:sz w:val="24"/>
          <w:szCs w:val="24"/>
        </w:rPr>
      </w:pPr>
    </w:p>
    <w:p>
      <w:pPr>
        <w:spacing w:line="480" w:lineRule="exact"/>
        <w:ind w:firstLine="480" w:firstLineChars="200"/>
        <w:rPr>
          <w:rFonts w:ascii="Times New Roman" w:hAnsi="Times New Roman" w:eastAsia="宋体" w:cs="Times New Roman"/>
          <w:kern w:val="0"/>
          <w:sz w:val="24"/>
          <w:szCs w:val="24"/>
        </w:rPr>
      </w:pPr>
    </w:p>
    <w:p>
      <w:pPr>
        <w:spacing w:line="480" w:lineRule="exact"/>
        <w:ind w:firstLine="480" w:firstLineChars="200"/>
        <w:rPr>
          <w:rFonts w:ascii="Times New Roman" w:hAnsi="Times New Roman" w:eastAsia="宋体" w:cs="Times New Roman"/>
          <w:kern w:val="0"/>
          <w:sz w:val="24"/>
          <w:szCs w:val="24"/>
        </w:rPr>
        <w:sectPr>
          <w:pgSz w:w="11906" w:h="16838"/>
          <w:pgMar w:top="1440" w:right="1800" w:bottom="1440" w:left="1800" w:header="851" w:footer="992" w:gutter="0"/>
          <w:cols w:space="425" w:num="1"/>
          <w:docGrid w:type="lines" w:linePitch="312" w:charSpace="0"/>
        </w:sectPr>
      </w:pPr>
    </w:p>
    <w:p>
      <w:pPr>
        <w:spacing w:line="48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表4.1</w:t>
      </w:r>
      <w:r>
        <w:rPr>
          <w:rFonts w:ascii="Times New Roman" w:hAnsi="Times New Roman" w:eastAsia="黑体" w:cs="Times New Roman"/>
          <w:sz w:val="24"/>
          <w:szCs w:val="24"/>
        </w:rPr>
        <w:t xml:space="preserve">-2                                  </w:t>
      </w:r>
      <w:r>
        <w:rPr>
          <w:rFonts w:hint="eastAsia" w:ascii="Times New Roman" w:hAnsi="Times New Roman" w:eastAsia="黑体" w:cs="Times New Roman"/>
          <w:sz w:val="24"/>
          <w:szCs w:val="24"/>
        </w:rPr>
        <w:t>项目变更后废气污染因子排放源强一览表</w:t>
      </w:r>
    </w:p>
    <w:tbl>
      <w:tblPr>
        <w:tblStyle w:val="19"/>
        <w:tblW w:w="13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4"/>
        <w:gridCol w:w="1060"/>
        <w:gridCol w:w="1323"/>
        <w:gridCol w:w="996"/>
        <w:gridCol w:w="712"/>
        <w:gridCol w:w="865"/>
        <w:gridCol w:w="865"/>
        <w:gridCol w:w="1265"/>
        <w:gridCol w:w="1265"/>
        <w:gridCol w:w="1323"/>
        <w:gridCol w:w="1454"/>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84"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排放形式</w:t>
            </w:r>
          </w:p>
        </w:tc>
        <w:tc>
          <w:tcPr>
            <w:tcW w:w="1060"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排放源</w:t>
            </w:r>
          </w:p>
        </w:tc>
        <w:tc>
          <w:tcPr>
            <w:tcW w:w="1323"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污染物</w:t>
            </w:r>
          </w:p>
        </w:tc>
        <w:tc>
          <w:tcPr>
            <w:tcW w:w="996"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废气量</w:t>
            </w:r>
          </w:p>
          <w:p>
            <w:pPr>
              <w:widowControl/>
              <w:jc w:val="center"/>
              <w:rPr>
                <w:rFonts w:ascii="Times New Roman" w:hAnsi="Times New Roman" w:eastAsia="宋体"/>
                <w:kern w:val="0"/>
                <w:szCs w:val="21"/>
              </w:rPr>
            </w:pPr>
            <w:r>
              <w:rPr>
                <w:rFonts w:ascii="Times New Roman" w:hAnsi="Times New Roman" w:eastAsia="宋体"/>
                <w:kern w:val="0"/>
                <w:szCs w:val="21"/>
              </w:rPr>
              <w:t>(万m</w:t>
            </w:r>
            <w:r>
              <w:rPr>
                <w:rFonts w:ascii="Times New Roman" w:hAnsi="Times New Roman" w:eastAsia="宋体"/>
                <w:kern w:val="0"/>
                <w:szCs w:val="21"/>
                <w:vertAlign w:val="superscript"/>
              </w:rPr>
              <w:t>3</w:t>
            </w:r>
            <w:r>
              <w:rPr>
                <w:rFonts w:ascii="Times New Roman" w:hAnsi="Times New Roman" w:eastAsia="宋体"/>
                <w:kern w:val="0"/>
                <w:szCs w:val="21"/>
              </w:rPr>
              <w:t>/a)</w:t>
            </w:r>
          </w:p>
        </w:tc>
        <w:tc>
          <w:tcPr>
            <w:tcW w:w="2442" w:type="dxa"/>
            <w:gridSpan w:val="3"/>
            <w:vAlign w:val="center"/>
          </w:tcPr>
          <w:p>
            <w:pPr>
              <w:widowControl/>
              <w:jc w:val="center"/>
              <w:rPr>
                <w:rFonts w:ascii="Times New Roman" w:hAnsi="Times New Roman" w:eastAsia="宋体"/>
                <w:kern w:val="0"/>
                <w:szCs w:val="21"/>
              </w:rPr>
            </w:pPr>
            <w:r>
              <w:rPr>
                <w:rFonts w:ascii="Times New Roman" w:hAnsi="Times New Roman" w:eastAsia="宋体"/>
                <w:kern w:val="0"/>
                <w:szCs w:val="21"/>
              </w:rPr>
              <w:t>排放源强</w:t>
            </w:r>
          </w:p>
        </w:tc>
        <w:tc>
          <w:tcPr>
            <w:tcW w:w="3853" w:type="dxa"/>
            <w:gridSpan w:val="3"/>
            <w:vAlign w:val="center"/>
          </w:tcPr>
          <w:p>
            <w:pPr>
              <w:widowControl/>
              <w:jc w:val="center"/>
              <w:rPr>
                <w:rFonts w:ascii="Times New Roman" w:hAnsi="Times New Roman" w:eastAsia="宋体"/>
                <w:kern w:val="0"/>
                <w:szCs w:val="21"/>
              </w:rPr>
            </w:pPr>
            <w:r>
              <w:rPr>
                <w:rFonts w:ascii="Times New Roman" w:hAnsi="Times New Roman" w:eastAsia="宋体"/>
                <w:kern w:val="0"/>
                <w:szCs w:val="21"/>
              </w:rPr>
              <w:t>排放口参数</w:t>
            </w:r>
          </w:p>
        </w:tc>
        <w:tc>
          <w:tcPr>
            <w:tcW w:w="1454"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排气筒 编号</w:t>
            </w:r>
          </w:p>
        </w:tc>
        <w:tc>
          <w:tcPr>
            <w:tcW w:w="1236"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排放标准</w:t>
            </w:r>
          </w:p>
          <w:p>
            <w:pPr>
              <w:widowControl/>
              <w:jc w:val="center"/>
              <w:rPr>
                <w:rFonts w:ascii="Times New Roman" w:hAnsi="Times New Roman" w:eastAsia="宋体"/>
                <w:kern w:val="0"/>
                <w:szCs w:val="21"/>
              </w:rPr>
            </w:pPr>
            <w:r>
              <w:rPr>
                <w:rFonts w:hint="eastAsia" w:ascii="Times New Roman" w:hAnsi="Times New Roman" w:eastAsia="宋体"/>
                <w:kern w:val="0"/>
                <w:szCs w:val="21"/>
              </w:rPr>
              <w:t>（</w:t>
            </w:r>
            <w:r>
              <w:rPr>
                <w:rFonts w:ascii="Times New Roman" w:hAnsi="Times New Roman" w:eastAsia="宋体"/>
                <w:kern w:val="0"/>
                <w:szCs w:val="21"/>
              </w:rPr>
              <w:t>mg/m</w:t>
            </w:r>
            <w:r>
              <w:rPr>
                <w:rFonts w:ascii="Times New Roman" w:hAnsi="Times New Roman" w:eastAsia="宋体"/>
                <w:kern w:val="0"/>
                <w:szCs w:val="21"/>
                <w:vertAlign w:val="superscript"/>
              </w:rPr>
              <w:t>3</w:t>
            </w:r>
            <w:r>
              <w:rPr>
                <w:rFonts w:hint="eastAsia" w:ascii="Times New Roman" w:hAnsi="Times New Roman" w:eastAsia="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84" w:type="dxa"/>
            <w:vMerge w:val="continue"/>
            <w:vAlign w:val="center"/>
          </w:tcPr>
          <w:p>
            <w:pPr>
              <w:widowControl/>
              <w:jc w:val="center"/>
              <w:rPr>
                <w:rFonts w:ascii="Times New Roman" w:hAnsi="Times New Roman" w:eastAsia="宋体"/>
                <w:kern w:val="0"/>
                <w:szCs w:val="21"/>
              </w:rPr>
            </w:pPr>
          </w:p>
        </w:tc>
        <w:tc>
          <w:tcPr>
            <w:tcW w:w="1060" w:type="dxa"/>
            <w:vMerge w:val="continue"/>
            <w:vAlign w:val="center"/>
          </w:tcPr>
          <w:p>
            <w:pPr>
              <w:widowControl/>
              <w:jc w:val="center"/>
              <w:rPr>
                <w:rFonts w:ascii="Times New Roman" w:hAnsi="Times New Roman" w:eastAsia="宋体"/>
                <w:kern w:val="0"/>
                <w:szCs w:val="21"/>
              </w:rPr>
            </w:pPr>
          </w:p>
        </w:tc>
        <w:tc>
          <w:tcPr>
            <w:tcW w:w="1323" w:type="dxa"/>
            <w:vMerge w:val="continue"/>
            <w:vAlign w:val="center"/>
          </w:tcPr>
          <w:p>
            <w:pPr>
              <w:widowControl/>
              <w:jc w:val="center"/>
              <w:rPr>
                <w:rFonts w:ascii="Times New Roman" w:hAnsi="Times New Roman" w:eastAsia="宋体"/>
                <w:kern w:val="0"/>
                <w:szCs w:val="21"/>
              </w:rPr>
            </w:pPr>
          </w:p>
        </w:tc>
        <w:tc>
          <w:tcPr>
            <w:tcW w:w="996" w:type="dxa"/>
            <w:vMerge w:val="continue"/>
            <w:vAlign w:val="center"/>
          </w:tcPr>
          <w:p>
            <w:pPr>
              <w:widowControl/>
              <w:jc w:val="center"/>
              <w:rPr>
                <w:rFonts w:ascii="Times New Roman" w:hAnsi="Times New Roman" w:eastAsia="宋体"/>
                <w:kern w:val="0"/>
                <w:szCs w:val="21"/>
              </w:rPr>
            </w:pPr>
          </w:p>
        </w:tc>
        <w:tc>
          <w:tcPr>
            <w:tcW w:w="712"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mg/m</w:t>
            </w:r>
            <w:r>
              <w:rPr>
                <w:rFonts w:ascii="Times New Roman" w:hAnsi="Times New Roman" w:eastAsia="宋体"/>
                <w:kern w:val="0"/>
                <w:szCs w:val="21"/>
                <w:vertAlign w:val="superscript"/>
              </w:rPr>
              <w:t>3</w:t>
            </w:r>
          </w:p>
        </w:tc>
        <w:tc>
          <w:tcPr>
            <w:tcW w:w="865"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kg/h</w:t>
            </w:r>
          </w:p>
        </w:tc>
        <w:tc>
          <w:tcPr>
            <w:tcW w:w="865"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t/a</w:t>
            </w:r>
          </w:p>
        </w:tc>
        <w:tc>
          <w:tcPr>
            <w:tcW w:w="1265"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高度（m）</w:t>
            </w:r>
          </w:p>
        </w:tc>
        <w:tc>
          <w:tcPr>
            <w:tcW w:w="1265"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内径（m）</w:t>
            </w:r>
          </w:p>
        </w:tc>
        <w:tc>
          <w:tcPr>
            <w:tcW w:w="1323"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温度（</w:t>
            </w:r>
            <w:r>
              <w:rPr>
                <w:rFonts w:hint="eastAsia" w:ascii="宋体" w:hAnsi="宋体" w:eastAsia="宋体" w:cs="宋体"/>
                <w:kern w:val="0"/>
                <w:szCs w:val="21"/>
              </w:rPr>
              <w:t>℃</w:t>
            </w:r>
            <w:r>
              <w:rPr>
                <w:rFonts w:ascii="Times New Roman" w:hAnsi="Times New Roman" w:eastAsia="宋体"/>
                <w:kern w:val="0"/>
                <w:szCs w:val="21"/>
              </w:rPr>
              <w:t>）</w:t>
            </w:r>
          </w:p>
        </w:tc>
        <w:tc>
          <w:tcPr>
            <w:tcW w:w="1454" w:type="dxa"/>
            <w:vMerge w:val="continue"/>
            <w:vAlign w:val="center"/>
          </w:tcPr>
          <w:p>
            <w:pPr>
              <w:widowControl/>
              <w:jc w:val="center"/>
              <w:rPr>
                <w:rFonts w:ascii="Times New Roman" w:hAnsi="Times New Roman" w:eastAsia="宋体"/>
                <w:kern w:val="0"/>
                <w:szCs w:val="21"/>
              </w:rPr>
            </w:pPr>
          </w:p>
        </w:tc>
        <w:tc>
          <w:tcPr>
            <w:tcW w:w="1236" w:type="dxa"/>
            <w:vMerge w:val="continue"/>
            <w:vAlign w:val="center"/>
          </w:tcPr>
          <w:p>
            <w:pPr>
              <w:widowControl/>
              <w:jc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84"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有组织排放</w:t>
            </w:r>
          </w:p>
        </w:tc>
        <w:tc>
          <w:tcPr>
            <w:tcW w:w="1060" w:type="dxa"/>
            <w:vMerge w:val="restart"/>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减压</w:t>
            </w:r>
            <w:r>
              <w:rPr>
                <w:rFonts w:ascii="Times New Roman" w:hAnsi="Times New Roman" w:eastAsia="宋体"/>
                <w:kern w:val="0"/>
                <w:szCs w:val="21"/>
              </w:rPr>
              <w:t>炉</w:t>
            </w:r>
          </w:p>
        </w:tc>
        <w:tc>
          <w:tcPr>
            <w:tcW w:w="1323"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SO</w:t>
            </w:r>
            <w:r>
              <w:rPr>
                <w:rFonts w:ascii="Times New Roman" w:hAnsi="Times New Roman" w:eastAsia="宋体"/>
                <w:kern w:val="0"/>
                <w:szCs w:val="21"/>
                <w:vertAlign w:val="subscript"/>
              </w:rPr>
              <w:t>2</w:t>
            </w:r>
          </w:p>
        </w:tc>
        <w:tc>
          <w:tcPr>
            <w:tcW w:w="996" w:type="dxa"/>
            <w:vMerge w:val="restart"/>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4193.76</w:t>
            </w:r>
          </w:p>
        </w:tc>
        <w:tc>
          <w:tcPr>
            <w:tcW w:w="712"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46.3</w:t>
            </w:r>
          </w:p>
        </w:tc>
        <w:tc>
          <w:tcPr>
            <w:tcW w:w="865"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0.</w:t>
            </w:r>
            <w:r>
              <w:rPr>
                <w:rFonts w:hint="eastAsia" w:ascii="Times New Roman" w:hAnsi="Times New Roman" w:eastAsia="宋体"/>
                <w:kern w:val="0"/>
                <w:szCs w:val="21"/>
              </w:rPr>
              <w:t>24</w:t>
            </w:r>
          </w:p>
        </w:tc>
        <w:tc>
          <w:tcPr>
            <w:tcW w:w="865"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1.94</w:t>
            </w:r>
          </w:p>
        </w:tc>
        <w:tc>
          <w:tcPr>
            <w:tcW w:w="1265" w:type="dxa"/>
            <w:vMerge w:val="restart"/>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28</w:t>
            </w:r>
          </w:p>
        </w:tc>
        <w:tc>
          <w:tcPr>
            <w:tcW w:w="1265"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0.6</w:t>
            </w:r>
          </w:p>
        </w:tc>
        <w:tc>
          <w:tcPr>
            <w:tcW w:w="1323"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200</w:t>
            </w:r>
          </w:p>
        </w:tc>
        <w:tc>
          <w:tcPr>
            <w:tcW w:w="1454"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A1</w:t>
            </w:r>
          </w:p>
        </w:tc>
        <w:tc>
          <w:tcPr>
            <w:tcW w:w="1236"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84" w:type="dxa"/>
            <w:vMerge w:val="continue"/>
            <w:vAlign w:val="center"/>
          </w:tcPr>
          <w:p>
            <w:pPr>
              <w:widowControl/>
              <w:jc w:val="center"/>
              <w:rPr>
                <w:rFonts w:ascii="Times New Roman" w:hAnsi="Times New Roman" w:eastAsia="宋体"/>
                <w:kern w:val="0"/>
                <w:szCs w:val="21"/>
              </w:rPr>
            </w:pPr>
          </w:p>
        </w:tc>
        <w:tc>
          <w:tcPr>
            <w:tcW w:w="1060" w:type="dxa"/>
            <w:vMerge w:val="continue"/>
            <w:vAlign w:val="center"/>
          </w:tcPr>
          <w:p>
            <w:pPr>
              <w:widowControl/>
              <w:jc w:val="center"/>
              <w:rPr>
                <w:rFonts w:ascii="Times New Roman" w:hAnsi="Times New Roman" w:eastAsia="宋体"/>
                <w:kern w:val="0"/>
                <w:szCs w:val="21"/>
              </w:rPr>
            </w:pPr>
          </w:p>
        </w:tc>
        <w:tc>
          <w:tcPr>
            <w:tcW w:w="1323"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NO</w:t>
            </w:r>
            <w:r>
              <w:rPr>
                <w:rFonts w:ascii="Times New Roman" w:hAnsi="Times New Roman" w:eastAsia="宋体"/>
                <w:kern w:val="0"/>
                <w:szCs w:val="21"/>
                <w:vertAlign w:val="subscript"/>
              </w:rPr>
              <w:t>x</w:t>
            </w:r>
          </w:p>
        </w:tc>
        <w:tc>
          <w:tcPr>
            <w:tcW w:w="996" w:type="dxa"/>
            <w:vMerge w:val="continue"/>
            <w:vAlign w:val="center"/>
          </w:tcPr>
          <w:p>
            <w:pPr>
              <w:widowControl/>
              <w:jc w:val="center"/>
              <w:rPr>
                <w:rFonts w:ascii="Times New Roman" w:hAnsi="Times New Roman" w:eastAsia="宋体"/>
                <w:kern w:val="0"/>
                <w:szCs w:val="21"/>
              </w:rPr>
            </w:pPr>
          </w:p>
        </w:tc>
        <w:tc>
          <w:tcPr>
            <w:tcW w:w="712"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35.7</w:t>
            </w:r>
          </w:p>
        </w:tc>
        <w:tc>
          <w:tcPr>
            <w:tcW w:w="865"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0.19</w:t>
            </w:r>
          </w:p>
        </w:tc>
        <w:tc>
          <w:tcPr>
            <w:tcW w:w="865"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1.50</w:t>
            </w:r>
          </w:p>
        </w:tc>
        <w:tc>
          <w:tcPr>
            <w:tcW w:w="1265" w:type="dxa"/>
            <w:vMerge w:val="continue"/>
            <w:vAlign w:val="center"/>
          </w:tcPr>
          <w:p>
            <w:pPr>
              <w:widowControl/>
              <w:jc w:val="center"/>
              <w:rPr>
                <w:rFonts w:ascii="Times New Roman" w:hAnsi="Times New Roman" w:eastAsia="宋体"/>
                <w:kern w:val="0"/>
                <w:szCs w:val="21"/>
              </w:rPr>
            </w:pPr>
          </w:p>
        </w:tc>
        <w:tc>
          <w:tcPr>
            <w:tcW w:w="1265" w:type="dxa"/>
            <w:vMerge w:val="continue"/>
            <w:vAlign w:val="center"/>
          </w:tcPr>
          <w:p>
            <w:pPr>
              <w:widowControl/>
              <w:jc w:val="center"/>
              <w:rPr>
                <w:rFonts w:ascii="Times New Roman" w:hAnsi="Times New Roman" w:eastAsia="宋体"/>
                <w:kern w:val="0"/>
                <w:szCs w:val="21"/>
              </w:rPr>
            </w:pPr>
          </w:p>
        </w:tc>
        <w:tc>
          <w:tcPr>
            <w:tcW w:w="1323" w:type="dxa"/>
            <w:vMerge w:val="continue"/>
            <w:vAlign w:val="center"/>
          </w:tcPr>
          <w:p>
            <w:pPr>
              <w:widowControl/>
              <w:jc w:val="center"/>
              <w:rPr>
                <w:rFonts w:ascii="Times New Roman" w:hAnsi="Times New Roman" w:eastAsia="宋体"/>
                <w:kern w:val="0"/>
                <w:szCs w:val="21"/>
              </w:rPr>
            </w:pPr>
          </w:p>
        </w:tc>
        <w:tc>
          <w:tcPr>
            <w:tcW w:w="1454" w:type="dxa"/>
            <w:vMerge w:val="continue"/>
            <w:vAlign w:val="center"/>
          </w:tcPr>
          <w:p>
            <w:pPr>
              <w:widowControl/>
              <w:jc w:val="center"/>
              <w:rPr>
                <w:rFonts w:ascii="Times New Roman" w:hAnsi="Times New Roman" w:eastAsia="宋体"/>
                <w:kern w:val="0"/>
                <w:szCs w:val="21"/>
              </w:rPr>
            </w:pPr>
          </w:p>
        </w:tc>
        <w:tc>
          <w:tcPr>
            <w:tcW w:w="1236"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84" w:type="dxa"/>
            <w:vMerge w:val="continue"/>
            <w:vAlign w:val="center"/>
          </w:tcPr>
          <w:p>
            <w:pPr>
              <w:widowControl/>
              <w:jc w:val="center"/>
              <w:rPr>
                <w:rFonts w:ascii="Times New Roman" w:hAnsi="Times New Roman" w:eastAsia="宋体"/>
                <w:kern w:val="0"/>
                <w:szCs w:val="21"/>
              </w:rPr>
            </w:pPr>
          </w:p>
        </w:tc>
        <w:tc>
          <w:tcPr>
            <w:tcW w:w="1060" w:type="dxa"/>
            <w:vMerge w:val="continue"/>
            <w:vAlign w:val="center"/>
          </w:tcPr>
          <w:p>
            <w:pPr>
              <w:widowControl/>
              <w:jc w:val="center"/>
              <w:rPr>
                <w:rFonts w:ascii="Times New Roman" w:hAnsi="Times New Roman" w:eastAsia="宋体"/>
                <w:kern w:val="0"/>
                <w:szCs w:val="21"/>
              </w:rPr>
            </w:pPr>
          </w:p>
        </w:tc>
        <w:tc>
          <w:tcPr>
            <w:tcW w:w="1323"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烟尘</w:t>
            </w:r>
          </w:p>
        </w:tc>
        <w:tc>
          <w:tcPr>
            <w:tcW w:w="996" w:type="dxa"/>
            <w:vMerge w:val="continue"/>
            <w:vAlign w:val="center"/>
          </w:tcPr>
          <w:p>
            <w:pPr>
              <w:widowControl/>
              <w:jc w:val="center"/>
              <w:rPr>
                <w:rFonts w:ascii="Times New Roman" w:hAnsi="Times New Roman" w:eastAsia="宋体"/>
                <w:kern w:val="0"/>
                <w:szCs w:val="21"/>
              </w:rPr>
            </w:pPr>
          </w:p>
        </w:tc>
        <w:tc>
          <w:tcPr>
            <w:tcW w:w="712"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14.3</w:t>
            </w:r>
          </w:p>
        </w:tc>
        <w:tc>
          <w:tcPr>
            <w:tcW w:w="865"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0.075</w:t>
            </w:r>
          </w:p>
        </w:tc>
        <w:tc>
          <w:tcPr>
            <w:tcW w:w="865"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0.</w:t>
            </w:r>
            <w:r>
              <w:rPr>
                <w:rFonts w:hint="eastAsia" w:ascii="Times New Roman" w:hAnsi="Times New Roman" w:eastAsia="宋体"/>
                <w:kern w:val="0"/>
                <w:szCs w:val="21"/>
              </w:rPr>
              <w:t>60</w:t>
            </w:r>
          </w:p>
        </w:tc>
        <w:tc>
          <w:tcPr>
            <w:tcW w:w="1265" w:type="dxa"/>
            <w:vMerge w:val="continue"/>
            <w:vAlign w:val="center"/>
          </w:tcPr>
          <w:p>
            <w:pPr>
              <w:widowControl/>
              <w:jc w:val="center"/>
              <w:rPr>
                <w:rFonts w:ascii="Times New Roman" w:hAnsi="Times New Roman" w:eastAsia="宋体"/>
                <w:kern w:val="0"/>
                <w:szCs w:val="21"/>
              </w:rPr>
            </w:pPr>
          </w:p>
        </w:tc>
        <w:tc>
          <w:tcPr>
            <w:tcW w:w="1265" w:type="dxa"/>
            <w:vMerge w:val="continue"/>
            <w:vAlign w:val="center"/>
          </w:tcPr>
          <w:p>
            <w:pPr>
              <w:widowControl/>
              <w:jc w:val="center"/>
              <w:rPr>
                <w:rFonts w:ascii="Times New Roman" w:hAnsi="Times New Roman" w:eastAsia="宋体"/>
                <w:kern w:val="0"/>
                <w:szCs w:val="21"/>
              </w:rPr>
            </w:pPr>
          </w:p>
        </w:tc>
        <w:tc>
          <w:tcPr>
            <w:tcW w:w="1323" w:type="dxa"/>
            <w:vMerge w:val="continue"/>
            <w:vAlign w:val="center"/>
          </w:tcPr>
          <w:p>
            <w:pPr>
              <w:widowControl/>
              <w:jc w:val="center"/>
              <w:rPr>
                <w:rFonts w:ascii="Times New Roman" w:hAnsi="Times New Roman" w:eastAsia="宋体"/>
                <w:kern w:val="0"/>
                <w:szCs w:val="21"/>
              </w:rPr>
            </w:pPr>
          </w:p>
        </w:tc>
        <w:tc>
          <w:tcPr>
            <w:tcW w:w="1454" w:type="dxa"/>
            <w:vMerge w:val="continue"/>
            <w:vAlign w:val="center"/>
          </w:tcPr>
          <w:p>
            <w:pPr>
              <w:widowControl/>
              <w:jc w:val="center"/>
              <w:rPr>
                <w:rFonts w:ascii="Times New Roman" w:hAnsi="Times New Roman" w:eastAsia="宋体"/>
                <w:kern w:val="0"/>
                <w:szCs w:val="21"/>
              </w:rPr>
            </w:pPr>
          </w:p>
        </w:tc>
        <w:tc>
          <w:tcPr>
            <w:tcW w:w="1236"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84" w:type="dxa"/>
            <w:vMerge w:val="continue"/>
            <w:vAlign w:val="center"/>
          </w:tcPr>
          <w:p>
            <w:pPr>
              <w:widowControl/>
              <w:jc w:val="center"/>
              <w:rPr>
                <w:rFonts w:ascii="Times New Roman" w:hAnsi="Times New Roman" w:eastAsia="宋体"/>
                <w:kern w:val="0"/>
                <w:szCs w:val="21"/>
              </w:rPr>
            </w:pPr>
          </w:p>
        </w:tc>
        <w:tc>
          <w:tcPr>
            <w:tcW w:w="1060" w:type="dxa"/>
            <w:vMerge w:val="restart"/>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导热油</w:t>
            </w:r>
            <w:r>
              <w:rPr>
                <w:rFonts w:ascii="Times New Roman" w:hAnsi="Times New Roman" w:eastAsia="宋体"/>
                <w:kern w:val="0"/>
                <w:szCs w:val="21"/>
              </w:rPr>
              <w:t>炉</w:t>
            </w:r>
          </w:p>
        </w:tc>
        <w:tc>
          <w:tcPr>
            <w:tcW w:w="1323"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SO</w:t>
            </w:r>
            <w:r>
              <w:rPr>
                <w:rFonts w:ascii="Times New Roman" w:hAnsi="Times New Roman" w:eastAsia="宋体"/>
                <w:kern w:val="0"/>
                <w:szCs w:val="21"/>
                <w:vertAlign w:val="subscript"/>
              </w:rPr>
              <w:t>2</w:t>
            </w:r>
          </w:p>
        </w:tc>
        <w:tc>
          <w:tcPr>
            <w:tcW w:w="996" w:type="dxa"/>
            <w:vMerge w:val="restart"/>
            <w:vAlign w:val="center"/>
          </w:tcPr>
          <w:p>
            <w:pPr>
              <w:widowControl/>
              <w:jc w:val="center"/>
              <w:rPr>
                <w:rFonts w:ascii="Times New Roman" w:hAnsi="Times New Roman" w:eastAsia="宋体"/>
                <w:kern w:val="0"/>
                <w:szCs w:val="21"/>
              </w:rPr>
            </w:pPr>
            <w:r>
              <w:rPr>
                <w:rFonts w:hint="eastAsia" w:ascii="Times New Roman" w:hAnsi="Times New Roman" w:eastAsia="宋体" w:cs="Times New Roman"/>
                <w:kern w:val="0"/>
                <w:szCs w:val="21"/>
              </w:rPr>
              <w:t>10752.26</w:t>
            </w:r>
          </w:p>
        </w:tc>
        <w:tc>
          <w:tcPr>
            <w:tcW w:w="712"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1.3</w:t>
            </w:r>
          </w:p>
        </w:tc>
        <w:tc>
          <w:tcPr>
            <w:tcW w:w="865" w:type="dxa"/>
            <w:vAlign w:val="bottom"/>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0.017 </w:t>
            </w:r>
          </w:p>
        </w:tc>
        <w:tc>
          <w:tcPr>
            <w:tcW w:w="865"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0.14</w:t>
            </w:r>
          </w:p>
        </w:tc>
        <w:tc>
          <w:tcPr>
            <w:tcW w:w="1265"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30</w:t>
            </w:r>
          </w:p>
        </w:tc>
        <w:tc>
          <w:tcPr>
            <w:tcW w:w="1265"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0.8</w:t>
            </w:r>
          </w:p>
        </w:tc>
        <w:tc>
          <w:tcPr>
            <w:tcW w:w="1323"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200</w:t>
            </w:r>
          </w:p>
        </w:tc>
        <w:tc>
          <w:tcPr>
            <w:tcW w:w="1454"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A</w:t>
            </w:r>
            <w:r>
              <w:rPr>
                <w:rFonts w:hint="eastAsia" w:ascii="Times New Roman" w:hAnsi="Times New Roman" w:eastAsia="宋体"/>
                <w:kern w:val="0"/>
                <w:szCs w:val="21"/>
              </w:rPr>
              <w:t>2</w:t>
            </w:r>
          </w:p>
        </w:tc>
        <w:tc>
          <w:tcPr>
            <w:tcW w:w="1236"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84" w:type="dxa"/>
            <w:vMerge w:val="continue"/>
            <w:vAlign w:val="center"/>
          </w:tcPr>
          <w:p>
            <w:pPr>
              <w:widowControl/>
              <w:jc w:val="center"/>
              <w:rPr>
                <w:rFonts w:ascii="Times New Roman" w:hAnsi="Times New Roman" w:eastAsia="宋体"/>
                <w:kern w:val="0"/>
                <w:szCs w:val="21"/>
              </w:rPr>
            </w:pPr>
          </w:p>
        </w:tc>
        <w:tc>
          <w:tcPr>
            <w:tcW w:w="1060" w:type="dxa"/>
            <w:vMerge w:val="continue"/>
            <w:vAlign w:val="center"/>
          </w:tcPr>
          <w:p>
            <w:pPr>
              <w:widowControl/>
              <w:jc w:val="center"/>
              <w:rPr>
                <w:rFonts w:ascii="Times New Roman" w:hAnsi="Times New Roman" w:eastAsia="宋体"/>
                <w:kern w:val="0"/>
                <w:szCs w:val="21"/>
              </w:rPr>
            </w:pPr>
          </w:p>
        </w:tc>
        <w:tc>
          <w:tcPr>
            <w:tcW w:w="1323"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NO</w:t>
            </w:r>
            <w:r>
              <w:rPr>
                <w:rFonts w:ascii="Times New Roman" w:hAnsi="Times New Roman" w:eastAsia="宋体"/>
                <w:kern w:val="0"/>
                <w:szCs w:val="21"/>
                <w:vertAlign w:val="subscript"/>
              </w:rPr>
              <w:t>x</w:t>
            </w:r>
          </w:p>
        </w:tc>
        <w:tc>
          <w:tcPr>
            <w:tcW w:w="996" w:type="dxa"/>
            <w:vMerge w:val="continue"/>
            <w:vAlign w:val="center"/>
          </w:tcPr>
          <w:p>
            <w:pPr>
              <w:widowControl/>
              <w:jc w:val="center"/>
              <w:rPr>
                <w:rFonts w:ascii="Times New Roman" w:hAnsi="Times New Roman" w:eastAsia="宋体"/>
                <w:kern w:val="0"/>
                <w:szCs w:val="21"/>
              </w:rPr>
            </w:pPr>
          </w:p>
        </w:tc>
        <w:tc>
          <w:tcPr>
            <w:tcW w:w="712"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33.6</w:t>
            </w:r>
          </w:p>
        </w:tc>
        <w:tc>
          <w:tcPr>
            <w:tcW w:w="865" w:type="dxa"/>
            <w:vAlign w:val="bottom"/>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0.452 </w:t>
            </w:r>
          </w:p>
        </w:tc>
        <w:tc>
          <w:tcPr>
            <w:tcW w:w="865"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3.6</w:t>
            </w:r>
          </w:p>
        </w:tc>
        <w:tc>
          <w:tcPr>
            <w:tcW w:w="1265" w:type="dxa"/>
            <w:vMerge w:val="continue"/>
            <w:vAlign w:val="center"/>
          </w:tcPr>
          <w:p>
            <w:pPr>
              <w:widowControl/>
              <w:jc w:val="center"/>
              <w:rPr>
                <w:rFonts w:ascii="Times New Roman" w:hAnsi="Times New Roman" w:eastAsia="宋体"/>
                <w:kern w:val="0"/>
                <w:szCs w:val="21"/>
              </w:rPr>
            </w:pPr>
          </w:p>
        </w:tc>
        <w:tc>
          <w:tcPr>
            <w:tcW w:w="1265" w:type="dxa"/>
            <w:vMerge w:val="continue"/>
            <w:vAlign w:val="center"/>
          </w:tcPr>
          <w:p>
            <w:pPr>
              <w:widowControl/>
              <w:jc w:val="center"/>
              <w:rPr>
                <w:rFonts w:ascii="Times New Roman" w:hAnsi="Times New Roman" w:eastAsia="宋体"/>
                <w:kern w:val="0"/>
                <w:szCs w:val="21"/>
              </w:rPr>
            </w:pPr>
          </w:p>
        </w:tc>
        <w:tc>
          <w:tcPr>
            <w:tcW w:w="1323" w:type="dxa"/>
            <w:vMerge w:val="continue"/>
            <w:vAlign w:val="center"/>
          </w:tcPr>
          <w:p>
            <w:pPr>
              <w:widowControl/>
              <w:jc w:val="center"/>
              <w:rPr>
                <w:rFonts w:ascii="Times New Roman" w:hAnsi="Times New Roman" w:eastAsia="宋体"/>
                <w:kern w:val="0"/>
                <w:szCs w:val="21"/>
              </w:rPr>
            </w:pPr>
          </w:p>
        </w:tc>
        <w:tc>
          <w:tcPr>
            <w:tcW w:w="1454" w:type="dxa"/>
            <w:vMerge w:val="continue"/>
            <w:vAlign w:val="center"/>
          </w:tcPr>
          <w:p>
            <w:pPr>
              <w:widowControl/>
              <w:jc w:val="center"/>
              <w:rPr>
                <w:rFonts w:ascii="Times New Roman" w:hAnsi="Times New Roman" w:eastAsia="宋体"/>
                <w:kern w:val="0"/>
                <w:szCs w:val="21"/>
              </w:rPr>
            </w:pPr>
          </w:p>
        </w:tc>
        <w:tc>
          <w:tcPr>
            <w:tcW w:w="1236"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84" w:type="dxa"/>
            <w:vMerge w:val="continue"/>
            <w:vAlign w:val="center"/>
          </w:tcPr>
          <w:p>
            <w:pPr>
              <w:widowControl/>
              <w:jc w:val="center"/>
              <w:rPr>
                <w:rFonts w:ascii="Times New Roman" w:hAnsi="Times New Roman" w:eastAsia="宋体"/>
                <w:kern w:val="0"/>
                <w:szCs w:val="21"/>
              </w:rPr>
            </w:pPr>
          </w:p>
        </w:tc>
        <w:tc>
          <w:tcPr>
            <w:tcW w:w="1060" w:type="dxa"/>
            <w:vMerge w:val="continue"/>
            <w:vAlign w:val="center"/>
          </w:tcPr>
          <w:p>
            <w:pPr>
              <w:widowControl/>
              <w:jc w:val="center"/>
              <w:rPr>
                <w:rFonts w:ascii="Times New Roman" w:hAnsi="Times New Roman" w:eastAsia="宋体"/>
                <w:kern w:val="0"/>
                <w:szCs w:val="21"/>
              </w:rPr>
            </w:pPr>
          </w:p>
        </w:tc>
        <w:tc>
          <w:tcPr>
            <w:tcW w:w="1323"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烟尘</w:t>
            </w:r>
          </w:p>
        </w:tc>
        <w:tc>
          <w:tcPr>
            <w:tcW w:w="996" w:type="dxa"/>
            <w:vMerge w:val="continue"/>
            <w:vAlign w:val="center"/>
          </w:tcPr>
          <w:p>
            <w:pPr>
              <w:widowControl/>
              <w:jc w:val="center"/>
              <w:rPr>
                <w:rFonts w:ascii="Times New Roman" w:hAnsi="Times New Roman" w:eastAsia="宋体"/>
                <w:kern w:val="0"/>
                <w:szCs w:val="21"/>
              </w:rPr>
            </w:pPr>
          </w:p>
        </w:tc>
        <w:tc>
          <w:tcPr>
            <w:tcW w:w="712"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13.0</w:t>
            </w:r>
          </w:p>
        </w:tc>
        <w:tc>
          <w:tcPr>
            <w:tcW w:w="865" w:type="dxa"/>
            <w:vAlign w:val="bottom"/>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0.175 </w:t>
            </w:r>
          </w:p>
        </w:tc>
        <w:tc>
          <w:tcPr>
            <w:tcW w:w="865"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w:t>
            </w:r>
          </w:p>
        </w:tc>
        <w:tc>
          <w:tcPr>
            <w:tcW w:w="1265" w:type="dxa"/>
            <w:vMerge w:val="continue"/>
            <w:vAlign w:val="center"/>
          </w:tcPr>
          <w:p>
            <w:pPr>
              <w:widowControl/>
              <w:jc w:val="center"/>
              <w:rPr>
                <w:rFonts w:ascii="Times New Roman" w:hAnsi="Times New Roman" w:eastAsia="宋体"/>
                <w:kern w:val="0"/>
                <w:szCs w:val="21"/>
              </w:rPr>
            </w:pPr>
          </w:p>
        </w:tc>
        <w:tc>
          <w:tcPr>
            <w:tcW w:w="1265" w:type="dxa"/>
            <w:vMerge w:val="continue"/>
            <w:vAlign w:val="center"/>
          </w:tcPr>
          <w:p>
            <w:pPr>
              <w:widowControl/>
              <w:jc w:val="center"/>
              <w:rPr>
                <w:rFonts w:ascii="Times New Roman" w:hAnsi="Times New Roman" w:eastAsia="宋体"/>
                <w:kern w:val="0"/>
                <w:szCs w:val="21"/>
              </w:rPr>
            </w:pPr>
          </w:p>
        </w:tc>
        <w:tc>
          <w:tcPr>
            <w:tcW w:w="1323" w:type="dxa"/>
            <w:vMerge w:val="continue"/>
            <w:vAlign w:val="center"/>
          </w:tcPr>
          <w:p>
            <w:pPr>
              <w:widowControl/>
              <w:jc w:val="center"/>
              <w:rPr>
                <w:rFonts w:ascii="Times New Roman" w:hAnsi="Times New Roman" w:eastAsia="宋体"/>
                <w:kern w:val="0"/>
                <w:szCs w:val="21"/>
              </w:rPr>
            </w:pPr>
          </w:p>
        </w:tc>
        <w:tc>
          <w:tcPr>
            <w:tcW w:w="1454" w:type="dxa"/>
            <w:vMerge w:val="continue"/>
            <w:vAlign w:val="center"/>
          </w:tcPr>
          <w:p>
            <w:pPr>
              <w:widowControl/>
              <w:jc w:val="center"/>
              <w:rPr>
                <w:rFonts w:ascii="Times New Roman" w:hAnsi="Times New Roman" w:eastAsia="宋体"/>
                <w:kern w:val="0"/>
                <w:szCs w:val="21"/>
              </w:rPr>
            </w:pPr>
          </w:p>
        </w:tc>
        <w:tc>
          <w:tcPr>
            <w:tcW w:w="1236"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84" w:type="dxa"/>
            <w:vMerge w:val="continue"/>
            <w:vAlign w:val="center"/>
          </w:tcPr>
          <w:p>
            <w:pPr>
              <w:widowControl/>
              <w:jc w:val="center"/>
              <w:rPr>
                <w:rFonts w:ascii="Times New Roman" w:hAnsi="Times New Roman" w:eastAsia="宋体"/>
                <w:kern w:val="0"/>
                <w:szCs w:val="21"/>
              </w:rPr>
            </w:pPr>
          </w:p>
        </w:tc>
        <w:tc>
          <w:tcPr>
            <w:tcW w:w="1060"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罐区</w:t>
            </w:r>
          </w:p>
        </w:tc>
        <w:tc>
          <w:tcPr>
            <w:tcW w:w="1323"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非甲烷总烃</w:t>
            </w:r>
          </w:p>
        </w:tc>
        <w:tc>
          <w:tcPr>
            <w:tcW w:w="996"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2400</w:t>
            </w:r>
          </w:p>
        </w:tc>
        <w:tc>
          <w:tcPr>
            <w:tcW w:w="712"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60.4</w:t>
            </w:r>
          </w:p>
        </w:tc>
        <w:tc>
          <w:tcPr>
            <w:tcW w:w="865"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0.1812</w:t>
            </w:r>
          </w:p>
        </w:tc>
        <w:tc>
          <w:tcPr>
            <w:tcW w:w="865"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1.4498</w:t>
            </w:r>
          </w:p>
        </w:tc>
        <w:tc>
          <w:tcPr>
            <w:tcW w:w="1265" w:type="dxa"/>
            <w:vMerge w:val="restart"/>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15</w:t>
            </w:r>
          </w:p>
        </w:tc>
        <w:tc>
          <w:tcPr>
            <w:tcW w:w="1265" w:type="dxa"/>
            <w:vMerge w:val="restart"/>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0.2</w:t>
            </w:r>
          </w:p>
        </w:tc>
        <w:tc>
          <w:tcPr>
            <w:tcW w:w="1323" w:type="dxa"/>
            <w:vMerge w:val="restart"/>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25</w:t>
            </w:r>
          </w:p>
        </w:tc>
        <w:tc>
          <w:tcPr>
            <w:tcW w:w="1454"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A3</w:t>
            </w:r>
          </w:p>
        </w:tc>
        <w:tc>
          <w:tcPr>
            <w:tcW w:w="1236"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84" w:type="dxa"/>
            <w:vMerge w:val="continue"/>
            <w:vAlign w:val="center"/>
          </w:tcPr>
          <w:p>
            <w:pPr>
              <w:widowControl/>
              <w:jc w:val="center"/>
              <w:rPr>
                <w:rFonts w:ascii="Times New Roman" w:hAnsi="Times New Roman" w:eastAsia="宋体"/>
                <w:kern w:val="0"/>
                <w:szCs w:val="21"/>
              </w:rPr>
            </w:pPr>
          </w:p>
        </w:tc>
        <w:tc>
          <w:tcPr>
            <w:tcW w:w="1060"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污水站</w:t>
            </w:r>
          </w:p>
        </w:tc>
        <w:tc>
          <w:tcPr>
            <w:tcW w:w="1323"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非甲烷总烃</w:t>
            </w:r>
          </w:p>
        </w:tc>
        <w:tc>
          <w:tcPr>
            <w:tcW w:w="996"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1600</w:t>
            </w:r>
          </w:p>
        </w:tc>
        <w:tc>
          <w:tcPr>
            <w:tcW w:w="712"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1.22</w:t>
            </w:r>
          </w:p>
        </w:tc>
        <w:tc>
          <w:tcPr>
            <w:tcW w:w="865"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0.0024</w:t>
            </w:r>
          </w:p>
        </w:tc>
        <w:tc>
          <w:tcPr>
            <w:tcW w:w="865"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0.01944</w:t>
            </w:r>
          </w:p>
        </w:tc>
        <w:tc>
          <w:tcPr>
            <w:tcW w:w="1265" w:type="dxa"/>
            <w:vMerge w:val="continue"/>
            <w:vAlign w:val="center"/>
          </w:tcPr>
          <w:p>
            <w:pPr>
              <w:widowControl/>
              <w:jc w:val="center"/>
              <w:rPr>
                <w:rFonts w:ascii="Times New Roman" w:hAnsi="Times New Roman" w:eastAsia="宋体"/>
                <w:kern w:val="0"/>
                <w:szCs w:val="21"/>
              </w:rPr>
            </w:pPr>
          </w:p>
        </w:tc>
        <w:tc>
          <w:tcPr>
            <w:tcW w:w="1265" w:type="dxa"/>
            <w:vMerge w:val="continue"/>
            <w:vAlign w:val="center"/>
          </w:tcPr>
          <w:p>
            <w:pPr>
              <w:widowControl/>
              <w:jc w:val="center"/>
              <w:rPr>
                <w:rFonts w:ascii="Times New Roman" w:hAnsi="Times New Roman" w:eastAsia="宋体"/>
                <w:kern w:val="0"/>
                <w:szCs w:val="21"/>
              </w:rPr>
            </w:pPr>
          </w:p>
        </w:tc>
        <w:tc>
          <w:tcPr>
            <w:tcW w:w="1323" w:type="dxa"/>
            <w:vMerge w:val="continue"/>
            <w:vAlign w:val="center"/>
          </w:tcPr>
          <w:p>
            <w:pPr>
              <w:widowControl/>
              <w:jc w:val="center"/>
              <w:rPr>
                <w:rFonts w:ascii="Times New Roman" w:hAnsi="Times New Roman" w:eastAsia="宋体"/>
                <w:kern w:val="0"/>
                <w:szCs w:val="21"/>
              </w:rPr>
            </w:pPr>
          </w:p>
        </w:tc>
        <w:tc>
          <w:tcPr>
            <w:tcW w:w="1454" w:type="dxa"/>
            <w:vMerge w:val="restart"/>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A4</w:t>
            </w:r>
          </w:p>
        </w:tc>
        <w:tc>
          <w:tcPr>
            <w:tcW w:w="1236"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84" w:type="dxa"/>
            <w:vMerge w:val="continue"/>
            <w:vAlign w:val="center"/>
          </w:tcPr>
          <w:p>
            <w:pPr>
              <w:widowControl/>
              <w:jc w:val="center"/>
              <w:rPr>
                <w:rFonts w:ascii="Times New Roman" w:hAnsi="Times New Roman" w:eastAsia="宋体"/>
                <w:kern w:val="0"/>
                <w:szCs w:val="21"/>
              </w:rPr>
            </w:pPr>
          </w:p>
        </w:tc>
        <w:tc>
          <w:tcPr>
            <w:tcW w:w="1060" w:type="dxa"/>
            <w:vMerge w:val="continue"/>
            <w:vAlign w:val="center"/>
          </w:tcPr>
          <w:p>
            <w:pPr>
              <w:widowControl/>
              <w:jc w:val="center"/>
              <w:rPr>
                <w:rFonts w:ascii="Times New Roman" w:hAnsi="Times New Roman" w:eastAsia="宋体"/>
                <w:kern w:val="0"/>
                <w:szCs w:val="21"/>
              </w:rPr>
            </w:pPr>
          </w:p>
        </w:tc>
        <w:tc>
          <w:tcPr>
            <w:tcW w:w="1323"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NH</w:t>
            </w:r>
            <w:r>
              <w:rPr>
                <w:rFonts w:ascii="Times New Roman" w:hAnsi="Times New Roman" w:eastAsia="宋体"/>
                <w:kern w:val="0"/>
                <w:szCs w:val="21"/>
                <w:vertAlign w:val="subscript"/>
              </w:rPr>
              <w:t>3</w:t>
            </w:r>
          </w:p>
        </w:tc>
        <w:tc>
          <w:tcPr>
            <w:tcW w:w="996" w:type="dxa"/>
            <w:vMerge w:val="continue"/>
            <w:vAlign w:val="center"/>
          </w:tcPr>
          <w:p>
            <w:pPr>
              <w:widowControl/>
              <w:jc w:val="center"/>
              <w:rPr>
                <w:rFonts w:ascii="Times New Roman" w:hAnsi="Times New Roman" w:eastAsia="宋体"/>
                <w:kern w:val="0"/>
                <w:szCs w:val="21"/>
              </w:rPr>
            </w:pPr>
          </w:p>
        </w:tc>
        <w:tc>
          <w:tcPr>
            <w:tcW w:w="712"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2.55</w:t>
            </w:r>
          </w:p>
        </w:tc>
        <w:tc>
          <w:tcPr>
            <w:tcW w:w="865"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0.0051</w:t>
            </w:r>
          </w:p>
        </w:tc>
        <w:tc>
          <w:tcPr>
            <w:tcW w:w="865"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0.0408</w:t>
            </w:r>
          </w:p>
        </w:tc>
        <w:tc>
          <w:tcPr>
            <w:tcW w:w="1265" w:type="dxa"/>
            <w:vMerge w:val="continue"/>
            <w:vAlign w:val="center"/>
          </w:tcPr>
          <w:p>
            <w:pPr>
              <w:widowControl/>
              <w:jc w:val="center"/>
              <w:rPr>
                <w:rFonts w:ascii="Times New Roman" w:hAnsi="Times New Roman" w:eastAsia="宋体"/>
                <w:kern w:val="0"/>
                <w:szCs w:val="21"/>
              </w:rPr>
            </w:pPr>
          </w:p>
        </w:tc>
        <w:tc>
          <w:tcPr>
            <w:tcW w:w="1265" w:type="dxa"/>
            <w:vMerge w:val="continue"/>
            <w:vAlign w:val="center"/>
          </w:tcPr>
          <w:p>
            <w:pPr>
              <w:widowControl/>
              <w:jc w:val="center"/>
              <w:rPr>
                <w:rFonts w:ascii="Times New Roman" w:hAnsi="Times New Roman" w:eastAsia="宋体"/>
                <w:kern w:val="0"/>
                <w:szCs w:val="21"/>
              </w:rPr>
            </w:pPr>
          </w:p>
        </w:tc>
        <w:tc>
          <w:tcPr>
            <w:tcW w:w="1323" w:type="dxa"/>
            <w:vMerge w:val="continue"/>
            <w:vAlign w:val="center"/>
          </w:tcPr>
          <w:p>
            <w:pPr>
              <w:widowControl/>
              <w:jc w:val="center"/>
              <w:rPr>
                <w:rFonts w:ascii="Times New Roman" w:hAnsi="Times New Roman" w:eastAsia="宋体"/>
                <w:kern w:val="0"/>
                <w:szCs w:val="21"/>
              </w:rPr>
            </w:pPr>
          </w:p>
        </w:tc>
        <w:tc>
          <w:tcPr>
            <w:tcW w:w="1454" w:type="dxa"/>
            <w:vMerge w:val="continue"/>
            <w:vAlign w:val="center"/>
          </w:tcPr>
          <w:p>
            <w:pPr>
              <w:widowControl/>
              <w:jc w:val="center"/>
              <w:rPr>
                <w:rFonts w:ascii="Times New Roman" w:hAnsi="Times New Roman" w:eastAsia="宋体"/>
                <w:kern w:val="0"/>
                <w:szCs w:val="21"/>
              </w:rPr>
            </w:pPr>
          </w:p>
        </w:tc>
        <w:tc>
          <w:tcPr>
            <w:tcW w:w="1236"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4.9kg/h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84" w:type="dxa"/>
            <w:vMerge w:val="continue"/>
            <w:vAlign w:val="center"/>
          </w:tcPr>
          <w:p>
            <w:pPr>
              <w:widowControl/>
              <w:jc w:val="center"/>
              <w:rPr>
                <w:rFonts w:ascii="Times New Roman" w:hAnsi="Times New Roman" w:eastAsia="宋体"/>
                <w:kern w:val="0"/>
                <w:szCs w:val="21"/>
              </w:rPr>
            </w:pPr>
          </w:p>
        </w:tc>
        <w:tc>
          <w:tcPr>
            <w:tcW w:w="1060" w:type="dxa"/>
            <w:vMerge w:val="continue"/>
            <w:vAlign w:val="center"/>
          </w:tcPr>
          <w:p>
            <w:pPr>
              <w:widowControl/>
              <w:jc w:val="center"/>
              <w:rPr>
                <w:rFonts w:ascii="Times New Roman" w:hAnsi="Times New Roman" w:eastAsia="宋体"/>
                <w:kern w:val="0"/>
                <w:szCs w:val="21"/>
              </w:rPr>
            </w:pPr>
          </w:p>
        </w:tc>
        <w:tc>
          <w:tcPr>
            <w:tcW w:w="1323"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H</w:t>
            </w:r>
            <w:r>
              <w:rPr>
                <w:rFonts w:ascii="Times New Roman" w:hAnsi="Times New Roman" w:eastAsia="宋体"/>
                <w:kern w:val="0"/>
                <w:szCs w:val="21"/>
                <w:vertAlign w:val="subscript"/>
              </w:rPr>
              <w:t>2</w:t>
            </w:r>
            <w:r>
              <w:rPr>
                <w:rFonts w:ascii="Times New Roman" w:hAnsi="Times New Roman" w:eastAsia="宋体"/>
                <w:kern w:val="0"/>
                <w:szCs w:val="21"/>
              </w:rPr>
              <w:t>S</w:t>
            </w:r>
          </w:p>
        </w:tc>
        <w:tc>
          <w:tcPr>
            <w:tcW w:w="996" w:type="dxa"/>
            <w:vMerge w:val="continue"/>
            <w:vAlign w:val="center"/>
          </w:tcPr>
          <w:p>
            <w:pPr>
              <w:widowControl/>
              <w:jc w:val="center"/>
              <w:rPr>
                <w:rFonts w:ascii="Times New Roman" w:hAnsi="Times New Roman" w:eastAsia="宋体"/>
                <w:kern w:val="0"/>
                <w:szCs w:val="21"/>
              </w:rPr>
            </w:pPr>
          </w:p>
        </w:tc>
        <w:tc>
          <w:tcPr>
            <w:tcW w:w="712"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0.12</w:t>
            </w:r>
          </w:p>
        </w:tc>
        <w:tc>
          <w:tcPr>
            <w:tcW w:w="865" w:type="dxa"/>
            <w:vAlign w:val="center"/>
          </w:tcPr>
          <w:p>
            <w:pPr>
              <w:widowControl/>
              <w:spacing w:line="240" w:lineRule="exact"/>
              <w:jc w:val="center"/>
              <w:rPr>
                <w:rFonts w:ascii="Times New Roman" w:hAnsi="Times New Roman" w:eastAsia="宋体"/>
                <w:kern w:val="0"/>
                <w:szCs w:val="21"/>
              </w:rPr>
            </w:pPr>
            <w:r>
              <w:rPr>
                <w:rFonts w:hint="eastAsia" w:ascii="Times New Roman" w:hAnsi="Times New Roman" w:eastAsia="宋体"/>
                <w:kern w:val="0"/>
                <w:szCs w:val="21"/>
              </w:rPr>
              <w:t>0.0002</w:t>
            </w:r>
          </w:p>
        </w:tc>
        <w:tc>
          <w:tcPr>
            <w:tcW w:w="865"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0.00188</w:t>
            </w:r>
          </w:p>
        </w:tc>
        <w:tc>
          <w:tcPr>
            <w:tcW w:w="1265" w:type="dxa"/>
            <w:vMerge w:val="continue"/>
            <w:vAlign w:val="center"/>
          </w:tcPr>
          <w:p>
            <w:pPr>
              <w:widowControl/>
              <w:jc w:val="center"/>
              <w:rPr>
                <w:rFonts w:ascii="Times New Roman" w:hAnsi="Times New Roman" w:eastAsia="宋体"/>
                <w:kern w:val="0"/>
                <w:szCs w:val="21"/>
              </w:rPr>
            </w:pPr>
          </w:p>
        </w:tc>
        <w:tc>
          <w:tcPr>
            <w:tcW w:w="1265" w:type="dxa"/>
            <w:vMerge w:val="continue"/>
            <w:vAlign w:val="center"/>
          </w:tcPr>
          <w:p>
            <w:pPr>
              <w:widowControl/>
              <w:jc w:val="center"/>
              <w:rPr>
                <w:rFonts w:ascii="Times New Roman" w:hAnsi="Times New Roman" w:eastAsia="宋体"/>
                <w:kern w:val="0"/>
                <w:szCs w:val="21"/>
              </w:rPr>
            </w:pPr>
          </w:p>
        </w:tc>
        <w:tc>
          <w:tcPr>
            <w:tcW w:w="1323" w:type="dxa"/>
            <w:vMerge w:val="continue"/>
            <w:vAlign w:val="center"/>
          </w:tcPr>
          <w:p>
            <w:pPr>
              <w:widowControl/>
              <w:jc w:val="center"/>
              <w:rPr>
                <w:rFonts w:ascii="Times New Roman" w:hAnsi="Times New Roman" w:eastAsia="宋体"/>
                <w:kern w:val="0"/>
                <w:szCs w:val="21"/>
              </w:rPr>
            </w:pPr>
          </w:p>
        </w:tc>
        <w:tc>
          <w:tcPr>
            <w:tcW w:w="1454" w:type="dxa"/>
            <w:vMerge w:val="continue"/>
            <w:vAlign w:val="center"/>
          </w:tcPr>
          <w:p>
            <w:pPr>
              <w:widowControl/>
              <w:jc w:val="center"/>
              <w:rPr>
                <w:rFonts w:ascii="Times New Roman" w:hAnsi="Times New Roman" w:eastAsia="宋体"/>
                <w:kern w:val="0"/>
                <w:szCs w:val="21"/>
              </w:rPr>
            </w:pPr>
          </w:p>
        </w:tc>
        <w:tc>
          <w:tcPr>
            <w:tcW w:w="1236"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0.33kg/h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84" w:type="dxa"/>
            <w:vMerge w:val="restart"/>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无组织排放</w:t>
            </w:r>
          </w:p>
        </w:tc>
        <w:tc>
          <w:tcPr>
            <w:tcW w:w="1060"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装卸平台</w:t>
            </w:r>
          </w:p>
        </w:tc>
        <w:tc>
          <w:tcPr>
            <w:tcW w:w="1323"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非甲烷总烃</w:t>
            </w:r>
          </w:p>
        </w:tc>
        <w:tc>
          <w:tcPr>
            <w:tcW w:w="996"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w:t>
            </w:r>
          </w:p>
        </w:tc>
        <w:tc>
          <w:tcPr>
            <w:tcW w:w="712"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w:t>
            </w:r>
          </w:p>
        </w:tc>
        <w:tc>
          <w:tcPr>
            <w:tcW w:w="865"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0.1545</w:t>
            </w:r>
          </w:p>
        </w:tc>
        <w:tc>
          <w:tcPr>
            <w:tcW w:w="865"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1.3531</w:t>
            </w:r>
          </w:p>
        </w:tc>
        <w:tc>
          <w:tcPr>
            <w:tcW w:w="3853" w:type="dxa"/>
            <w:gridSpan w:val="3"/>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30</w:t>
            </w:r>
            <w:r>
              <w:rPr>
                <w:rFonts w:ascii="Times New Roman" w:hAnsi="Times New Roman" w:eastAsia="宋体"/>
                <w:kern w:val="0"/>
                <w:szCs w:val="21"/>
              </w:rPr>
              <w:t>×</w:t>
            </w:r>
            <w:r>
              <w:rPr>
                <w:rFonts w:hint="eastAsia" w:ascii="Times New Roman" w:hAnsi="Times New Roman" w:eastAsia="宋体"/>
                <w:kern w:val="0"/>
                <w:szCs w:val="21"/>
              </w:rPr>
              <w:t>10</w:t>
            </w:r>
            <w:r>
              <w:rPr>
                <w:rFonts w:ascii="Times New Roman" w:hAnsi="Times New Roman" w:eastAsia="宋体"/>
                <w:kern w:val="0"/>
                <w:szCs w:val="21"/>
              </w:rPr>
              <w:t>×2</w:t>
            </w:r>
          </w:p>
        </w:tc>
        <w:tc>
          <w:tcPr>
            <w:tcW w:w="1454"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w:t>
            </w:r>
          </w:p>
        </w:tc>
        <w:tc>
          <w:tcPr>
            <w:tcW w:w="1236" w:type="dxa"/>
            <w:vMerge w:val="restart"/>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厂界2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84" w:type="dxa"/>
            <w:vMerge w:val="continue"/>
            <w:vAlign w:val="center"/>
          </w:tcPr>
          <w:p>
            <w:pPr>
              <w:widowControl/>
              <w:jc w:val="center"/>
              <w:rPr>
                <w:rFonts w:ascii="Times New Roman" w:hAnsi="Times New Roman" w:eastAsia="宋体"/>
                <w:kern w:val="0"/>
                <w:szCs w:val="21"/>
              </w:rPr>
            </w:pPr>
          </w:p>
        </w:tc>
        <w:tc>
          <w:tcPr>
            <w:tcW w:w="1060" w:type="dxa"/>
            <w:vMerge w:val="restart"/>
            <w:vAlign w:val="center"/>
          </w:tcPr>
          <w:p>
            <w:pPr>
              <w:widowControl/>
              <w:jc w:val="center"/>
              <w:rPr>
                <w:rFonts w:ascii="Times New Roman" w:hAnsi="Times New Roman" w:eastAsia="宋体"/>
                <w:kern w:val="0"/>
                <w:szCs w:val="21"/>
              </w:rPr>
            </w:pPr>
            <w:r>
              <w:rPr>
                <w:rFonts w:ascii="Times New Roman" w:hAnsi="Times New Roman" w:eastAsia="宋体"/>
                <w:kern w:val="0"/>
                <w:szCs w:val="21"/>
              </w:rPr>
              <w:t>污水站</w:t>
            </w:r>
          </w:p>
        </w:tc>
        <w:tc>
          <w:tcPr>
            <w:tcW w:w="1323"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非甲烷总烃</w:t>
            </w:r>
          </w:p>
        </w:tc>
        <w:tc>
          <w:tcPr>
            <w:tcW w:w="996"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w:t>
            </w:r>
          </w:p>
        </w:tc>
        <w:tc>
          <w:tcPr>
            <w:tcW w:w="712"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w:t>
            </w:r>
          </w:p>
        </w:tc>
        <w:tc>
          <w:tcPr>
            <w:tcW w:w="865"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0.0027</w:t>
            </w:r>
          </w:p>
        </w:tc>
        <w:tc>
          <w:tcPr>
            <w:tcW w:w="865"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0.0216</w:t>
            </w:r>
          </w:p>
        </w:tc>
        <w:tc>
          <w:tcPr>
            <w:tcW w:w="3853" w:type="dxa"/>
            <w:gridSpan w:val="3"/>
            <w:vAlign w:val="center"/>
          </w:tcPr>
          <w:p>
            <w:pPr>
              <w:widowControl/>
              <w:jc w:val="center"/>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24</w:t>
            </w:r>
            <w:r>
              <w:rPr>
                <w:rFonts w:ascii="Times New Roman" w:hAnsi="Times New Roman" w:eastAsia="宋体"/>
                <w:kern w:val="0"/>
                <w:szCs w:val="21"/>
              </w:rPr>
              <w:t>×</w:t>
            </w:r>
            <w:r>
              <w:rPr>
                <w:rFonts w:hint="eastAsia" w:ascii="Times New Roman" w:hAnsi="Times New Roman" w:eastAsia="宋体"/>
                <w:kern w:val="0"/>
                <w:szCs w:val="21"/>
              </w:rPr>
              <w:t>42</w:t>
            </w:r>
            <w:r>
              <w:rPr>
                <w:rFonts w:ascii="Times New Roman" w:hAnsi="Times New Roman" w:eastAsia="宋体"/>
                <w:kern w:val="0"/>
                <w:szCs w:val="21"/>
              </w:rPr>
              <w:t>×1</w:t>
            </w:r>
            <w:r>
              <w:rPr>
                <w:rFonts w:hint="eastAsia" w:ascii="Times New Roman" w:hAnsi="Times New Roman" w:eastAsia="宋体"/>
                <w:kern w:val="0"/>
                <w:szCs w:val="21"/>
              </w:rPr>
              <w:t>3</w:t>
            </w:r>
          </w:p>
        </w:tc>
        <w:tc>
          <w:tcPr>
            <w:tcW w:w="1454"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w:t>
            </w:r>
          </w:p>
        </w:tc>
        <w:tc>
          <w:tcPr>
            <w:tcW w:w="1236" w:type="dxa"/>
            <w:vMerge w:val="continue"/>
            <w:vAlign w:val="center"/>
          </w:tcPr>
          <w:p>
            <w:pPr>
              <w:widowControl/>
              <w:jc w:val="center"/>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84" w:type="dxa"/>
            <w:vMerge w:val="continue"/>
            <w:vAlign w:val="center"/>
          </w:tcPr>
          <w:p>
            <w:pPr>
              <w:widowControl/>
              <w:jc w:val="center"/>
              <w:rPr>
                <w:rFonts w:ascii="Times New Roman" w:hAnsi="Times New Roman" w:eastAsia="宋体"/>
                <w:kern w:val="0"/>
                <w:szCs w:val="21"/>
              </w:rPr>
            </w:pPr>
          </w:p>
        </w:tc>
        <w:tc>
          <w:tcPr>
            <w:tcW w:w="1060" w:type="dxa"/>
            <w:vMerge w:val="continue"/>
            <w:vAlign w:val="center"/>
          </w:tcPr>
          <w:p>
            <w:pPr>
              <w:widowControl/>
              <w:jc w:val="center"/>
              <w:rPr>
                <w:rFonts w:ascii="Times New Roman" w:hAnsi="Times New Roman" w:eastAsia="宋体"/>
                <w:kern w:val="0"/>
                <w:szCs w:val="21"/>
              </w:rPr>
            </w:pPr>
          </w:p>
        </w:tc>
        <w:tc>
          <w:tcPr>
            <w:tcW w:w="1323"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NH</w:t>
            </w:r>
            <w:r>
              <w:rPr>
                <w:rFonts w:ascii="Times New Roman" w:hAnsi="Times New Roman" w:eastAsia="宋体"/>
                <w:kern w:val="0"/>
                <w:szCs w:val="21"/>
                <w:vertAlign w:val="subscript"/>
              </w:rPr>
              <w:t>3</w:t>
            </w:r>
          </w:p>
        </w:tc>
        <w:tc>
          <w:tcPr>
            <w:tcW w:w="996"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w:t>
            </w:r>
          </w:p>
        </w:tc>
        <w:tc>
          <w:tcPr>
            <w:tcW w:w="712"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w:t>
            </w:r>
          </w:p>
        </w:tc>
        <w:tc>
          <w:tcPr>
            <w:tcW w:w="865"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0.0057</w:t>
            </w:r>
          </w:p>
        </w:tc>
        <w:tc>
          <w:tcPr>
            <w:tcW w:w="865"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0.045</w:t>
            </w:r>
          </w:p>
        </w:tc>
        <w:tc>
          <w:tcPr>
            <w:tcW w:w="3853" w:type="dxa"/>
            <w:gridSpan w:val="3"/>
            <w:vMerge w:val="restart"/>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20</w:t>
            </w:r>
            <w:r>
              <w:rPr>
                <w:rFonts w:ascii="Times New Roman" w:hAnsi="Times New Roman" w:eastAsia="宋体"/>
                <w:kern w:val="0"/>
                <w:szCs w:val="21"/>
              </w:rPr>
              <w:t>×</w:t>
            </w:r>
            <w:r>
              <w:rPr>
                <w:rFonts w:hint="eastAsia" w:ascii="Times New Roman" w:hAnsi="Times New Roman" w:eastAsia="宋体"/>
                <w:kern w:val="0"/>
                <w:szCs w:val="21"/>
              </w:rPr>
              <w:t>17</w:t>
            </w:r>
            <w:r>
              <w:rPr>
                <w:rFonts w:ascii="Times New Roman" w:hAnsi="Times New Roman" w:eastAsia="宋体"/>
                <w:kern w:val="0"/>
                <w:szCs w:val="21"/>
              </w:rPr>
              <w:t>×2</w:t>
            </w:r>
          </w:p>
        </w:tc>
        <w:tc>
          <w:tcPr>
            <w:tcW w:w="1454" w:type="dxa"/>
            <w:vMerge w:val="restart"/>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w:t>
            </w:r>
          </w:p>
        </w:tc>
        <w:tc>
          <w:tcPr>
            <w:tcW w:w="1236"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厂界</w:t>
            </w:r>
            <w:r>
              <w:rPr>
                <w:rFonts w:ascii="Times New Roman" w:hAnsi="Times New Roman" w:eastAsia="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84" w:type="dxa"/>
            <w:vMerge w:val="continue"/>
            <w:vAlign w:val="center"/>
          </w:tcPr>
          <w:p>
            <w:pPr>
              <w:widowControl/>
              <w:jc w:val="center"/>
              <w:rPr>
                <w:rFonts w:ascii="Times New Roman" w:hAnsi="Times New Roman" w:eastAsia="宋体"/>
                <w:kern w:val="0"/>
                <w:szCs w:val="21"/>
              </w:rPr>
            </w:pPr>
          </w:p>
        </w:tc>
        <w:tc>
          <w:tcPr>
            <w:tcW w:w="1060" w:type="dxa"/>
            <w:vMerge w:val="continue"/>
            <w:vAlign w:val="center"/>
          </w:tcPr>
          <w:p>
            <w:pPr>
              <w:widowControl/>
              <w:jc w:val="center"/>
              <w:rPr>
                <w:rFonts w:ascii="Times New Roman" w:hAnsi="Times New Roman" w:eastAsia="宋体"/>
                <w:kern w:val="0"/>
                <w:szCs w:val="21"/>
              </w:rPr>
            </w:pPr>
          </w:p>
        </w:tc>
        <w:tc>
          <w:tcPr>
            <w:tcW w:w="1323"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H</w:t>
            </w:r>
            <w:r>
              <w:rPr>
                <w:rFonts w:ascii="Times New Roman" w:hAnsi="Times New Roman" w:eastAsia="宋体"/>
                <w:kern w:val="0"/>
                <w:szCs w:val="21"/>
                <w:vertAlign w:val="subscript"/>
              </w:rPr>
              <w:t>2</w:t>
            </w:r>
            <w:r>
              <w:rPr>
                <w:rFonts w:ascii="Times New Roman" w:hAnsi="Times New Roman" w:eastAsia="宋体"/>
                <w:kern w:val="0"/>
                <w:szCs w:val="21"/>
              </w:rPr>
              <w:t>S</w:t>
            </w:r>
          </w:p>
        </w:tc>
        <w:tc>
          <w:tcPr>
            <w:tcW w:w="996"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w:t>
            </w:r>
          </w:p>
        </w:tc>
        <w:tc>
          <w:tcPr>
            <w:tcW w:w="712"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w:t>
            </w:r>
          </w:p>
        </w:tc>
        <w:tc>
          <w:tcPr>
            <w:tcW w:w="865"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0.000</w:t>
            </w:r>
            <w:r>
              <w:rPr>
                <w:rFonts w:ascii="Times New Roman" w:hAnsi="Times New Roman" w:eastAsia="宋体" w:cs="Times New Roman"/>
                <w:kern w:val="0"/>
                <w:szCs w:val="21"/>
              </w:rPr>
              <w:t>26</w:t>
            </w:r>
          </w:p>
        </w:tc>
        <w:tc>
          <w:tcPr>
            <w:tcW w:w="865" w:type="dxa"/>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0.0021</w:t>
            </w:r>
          </w:p>
        </w:tc>
        <w:tc>
          <w:tcPr>
            <w:tcW w:w="3853" w:type="dxa"/>
            <w:gridSpan w:val="3"/>
            <w:vMerge w:val="continue"/>
            <w:vAlign w:val="center"/>
          </w:tcPr>
          <w:p>
            <w:pPr>
              <w:widowControl/>
              <w:jc w:val="center"/>
              <w:rPr>
                <w:rFonts w:ascii="Times New Roman" w:hAnsi="Times New Roman" w:eastAsia="宋体"/>
                <w:kern w:val="0"/>
                <w:szCs w:val="21"/>
              </w:rPr>
            </w:pPr>
          </w:p>
        </w:tc>
        <w:tc>
          <w:tcPr>
            <w:tcW w:w="1454" w:type="dxa"/>
            <w:vMerge w:val="continue"/>
            <w:vAlign w:val="center"/>
          </w:tcPr>
          <w:p>
            <w:pPr>
              <w:widowControl/>
              <w:jc w:val="center"/>
              <w:rPr>
                <w:rFonts w:ascii="Times New Roman" w:hAnsi="Times New Roman" w:eastAsia="宋体"/>
                <w:kern w:val="0"/>
                <w:szCs w:val="21"/>
              </w:rPr>
            </w:pPr>
          </w:p>
        </w:tc>
        <w:tc>
          <w:tcPr>
            <w:tcW w:w="1236"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厂界</w:t>
            </w:r>
            <w:r>
              <w:rPr>
                <w:rFonts w:ascii="Times New Roman" w:hAnsi="Times New Roman" w:eastAsia="宋体"/>
                <w:kern w:val="0"/>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84" w:type="dxa"/>
            <w:vMerge w:val="restart"/>
            <w:vAlign w:val="center"/>
          </w:tcPr>
          <w:p>
            <w:pPr>
              <w:widowControl/>
              <w:jc w:val="center"/>
              <w:rPr>
                <w:rFonts w:ascii="Times New Roman" w:hAnsi="Times New Roman" w:eastAsia="宋体"/>
                <w:kern w:val="0"/>
                <w:szCs w:val="21"/>
              </w:rPr>
            </w:pPr>
            <w:r>
              <w:rPr>
                <w:rFonts w:ascii="Times New Roman" w:hAnsi="Times New Roman" w:eastAsia="宋体" w:cs="Times New Roman"/>
                <w:kern w:val="0"/>
                <w:szCs w:val="21"/>
              </w:rPr>
              <w:t>非正常状态下</w:t>
            </w:r>
          </w:p>
        </w:tc>
        <w:tc>
          <w:tcPr>
            <w:tcW w:w="1060" w:type="dxa"/>
            <w:vMerge w:val="restart"/>
            <w:vAlign w:val="center"/>
          </w:tcPr>
          <w:p>
            <w:pPr>
              <w:widowControl/>
              <w:jc w:val="center"/>
              <w:rPr>
                <w:rFonts w:ascii="Times New Roman" w:hAnsi="Times New Roman" w:eastAsia="宋体"/>
                <w:kern w:val="0"/>
                <w:szCs w:val="21"/>
              </w:rPr>
            </w:pPr>
            <w:r>
              <w:rPr>
                <w:rFonts w:ascii="Times New Roman" w:hAnsi="Times New Roman" w:eastAsia="宋体" w:cs="Times New Roman"/>
                <w:kern w:val="0"/>
                <w:szCs w:val="21"/>
              </w:rPr>
              <w:t>生产车间</w:t>
            </w:r>
          </w:p>
        </w:tc>
        <w:tc>
          <w:tcPr>
            <w:tcW w:w="1323"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rPr>
              <w:t>非甲烷总烃</w:t>
            </w:r>
          </w:p>
        </w:tc>
        <w:tc>
          <w:tcPr>
            <w:tcW w:w="996" w:type="dxa"/>
            <w:vMerge w:val="restart"/>
            <w:vAlign w:val="center"/>
          </w:tcPr>
          <w:p>
            <w:pPr>
              <w:widowControl/>
              <w:jc w:val="center"/>
              <w:rPr>
                <w:rFonts w:ascii="Times New Roman" w:hAnsi="Times New Roman" w:eastAsia="宋体"/>
                <w:kern w:val="0"/>
                <w:szCs w:val="21"/>
              </w:rPr>
            </w:pPr>
            <w:r>
              <w:rPr>
                <w:rFonts w:ascii="Times New Roman" w:hAnsi="Times New Roman" w:eastAsia="宋体" w:cs="Times New Roman"/>
                <w:kern w:val="0"/>
                <w:szCs w:val="21"/>
              </w:rPr>
              <w:t>2624.8</w:t>
            </w:r>
          </w:p>
        </w:tc>
        <w:tc>
          <w:tcPr>
            <w:tcW w:w="712"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w:t>
            </w:r>
          </w:p>
        </w:tc>
        <w:tc>
          <w:tcPr>
            <w:tcW w:w="865"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5.76</w:t>
            </w:r>
          </w:p>
        </w:tc>
        <w:tc>
          <w:tcPr>
            <w:tcW w:w="865"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w:t>
            </w:r>
          </w:p>
        </w:tc>
        <w:tc>
          <w:tcPr>
            <w:tcW w:w="3853" w:type="dxa"/>
            <w:gridSpan w:val="3"/>
            <w:vMerge w:val="restart"/>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70</w:t>
            </w:r>
            <w:r>
              <w:rPr>
                <w:rFonts w:ascii="Times New Roman" w:hAnsi="Times New Roman" w:eastAsia="宋体"/>
                <w:kern w:val="0"/>
                <w:szCs w:val="21"/>
              </w:rPr>
              <w:t>×</w:t>
            </w:r>
            <w:r>
              <w:rPr>
                <w:rFonts w:hint="eastAsia" w:ascii="Times New Roman" w:hAnsi="Times New Roman" w:eastAsia="宋体"/>
                <w:kern w:val="0"/>
                <w:szCs w:val="21"/>
              </w:rPr>
              <w:t>60</w:t>
            </w:r>
            <w:r>
              <w:rPr>
                <w:rFonts w:ascii="Times New Roman" w:hAnsi="Times New Roman" w:eastAsia="宋体"/>
                <w:kern w:val="0"/>
                <w:szCs w:val="21"/>
              </w:rPr>
              <w:t>×</w:t>
            </w:r>
            <w:r>
              <w:rPr>
                <w:rFonts w:hint="eastAsia" w:ascii="Times New Roman" w:hAnsi="Times New Roman" w:eastAsia="宋体"/>
                <w:kern w:val="0"/>
                <w:szCs w:val="21"/>
              </w:rPr>
              <w:t>15</w:t>
            </w:r>
          </w:p>
        </w:tc>
        <w:tc>
          <w:tcPr>
            <w:tcW w:w="1454" w:type="dxa"/>
            <w:vMerge w:val="restart"/>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w:t>
            </w:r>
          </w:p>
        </w:tc>
        <w:tc>
          <w:tcPr>
            <w:tcW w:w="1236"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厂界2.0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84" w:type="dxa"/>
            <w:vMerge w:val="continue"/>
            <w:vAlign w:val="center"/>
          </w:tcPr>
          <w:p>
            <w:pPr>
              <w:widowControl/>
              <w:jc w:val="center"/>
              <w:rPr>
                <w:rFonts w:ascii="Times New Roman" w:hAnsi="Times New Roman" w:eastAsia="宋体"/>
                <w:kern w:val="0"/>
                <w:szCs w:val="21"/>
              </w:rPr>
            </w:pPr>
          </w:p>
        </w:tc>
        <w:tc>
          <w:tcPr>
            <w:tcW w:w="1060" w:type="dxa"/>
            <w:vMerge w:val="continue"/>
            <w:vAlign w:val="center"/>
          </w:tcPr>
          <w:p>
            <w:pPr>
              <w:widowControl/>
              <w:jc w:val="center"/>
              <w:rPr>
                <w:rFonts w:ascii="Times New Roman" w:hAnsi="Times New Roman" w:eastAsia="宋体"/>
                <w:kern w:val="0"/>
                <w:szCs w:val="21"/>
              </w:rPr>
            </w:pPr>
          </w:p>
        </w:tc>
        <w:tc>
          <w:tcPr>
            <w:tcW w:w="1323"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H</w:t>
            </w:r>
            <w:r>
              <w:rPr>
                <w:rFonts w:ascii="Times New Roman" w:hAnsi="Times New Roman" w:eastAsia="宋体" w:cs="Times New Roman"/>
                <w:kern w:val="0"/>
                <w:szCs w:val="21"/>
                <w:vertAlign w:val="subscript"/>
                <w:lang w:eastAsia="en-US"/>
              </w:rPr>
              <w:t>2</w:t>
            </w:r>
            <w:r>
              <w:rPr>
                <w:rFonts w:ascii="Times New Roman" w:hAnsi="Times New Roman" w:eastAsia="宋体" w:cs="Times New Roman"/>
                <w:kern w:val="0"/>
                <w:szCs w:val="21"/>
                <w:lang w:eastAsia="en-US"/>
              </w:rPr>
              <w:t>S</w:t>
            </w:r>
          </w:p>
        </w:tc>
        <w:tc>
          <w:tcPr>
            <w:tcW w:w="996" w:type="dxa"/>
            <w:vMerge w:val="continue"/>
            <w:vAlign w:val="center"/>
          </w:tcPr>
          <w:p>
            <w:pPr>
              <w:widowControl/>
              <w:jc w:val="center"/>
              <w:rPr>
                <w:rFonts w:ascii="Times New Roman" w:hAnsi="Times New Roman" w:eastAsia="宋体"/>
                <w:kern w:val="0"/>
                <w:szCs w:val="21"/>
              </w:rPr>
            </w:pPr>
          </w:p>
        </w:tc>
        <w:tc>
          <w:tcPr>
            <w:tcW w:w="712"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w:t>
            </w:r>
          </w:p>
        </w:tc>
        <w:tc>
          <w:tcPr>
            <w:tcW w:w="865"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1.02</w:t>
            </w:r>
          </w:p>
        </w:tc>
        <w:tc>
          <w:tcPr>
            <w:tcW w:w="865" w:type="dxa"/>
            <w:vAlign w:val="center"/>
          </w:tcPr>
          <w:p>
            <w:pPr>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w:t>
            </w:r>
          </w:p>
        </w:tc>
        <w:tc>
          <w:tcPr>
            <w:tcW w:w="3853" w:type="dxa"/>
            <w:gridSpan w:val="3"/>
            <w:vMerge w:val="continue"/>
            <w:vAlign w:val="center"/>
          </w:tcPr>
          <w:p>
            <w:pPr>
              <w:widowControl/>
              <w:jc w:val="center"/>
              <w:rPr>
                <w:rFonts w:ascii="Times New Roman" w:hAnsi="Times New Roman" w:eastAsia="宋体"/>
                <w:kern w:val="0"/>
                <w:szCs w:val="21"/>
              </w:rPr>
            </w:pPr>
          </w:p>
        </w:tc>
        <w:tc>
          <w:tcPr>
            <w:tcW w:w="1454" w:type="dxa"/>
            <w:vMerge w:val="continue"/>
            <w:vAlign w:val="center"/>
          </w:tcPr>
          <w:p>
            <w:pPr>
              <w:widowControl/>
              <w:jc w:val="center"/>
              <w:rPr>
                <w:rFonts w:ascii="Times New Roman" w:hAnsi="Times New Roman" w:eastAsia="宋体"/>
                <w:kern w:val="0"/>
                <w:szCs w:val="21"/>
              </w:rPr>
            </w:pPr>
          </w:p>
        </w:tc>
        <w:tc>
          <w:tcPr>
            <w:tcW w:w="1236" w:type="dxa"/>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厂界</w:t>
            </w:r>
            <w:r>
              <w:rPr>
                <w:rFonts w:ascii="Times New Roman" w:hAnsi="Times New Roman" w:eastAsia="宋体"/>
                <w:kern w:val="0"/>
                <w:szCs w:val="21"/>
              </w:rPr>
              <w:t>0.06</w:t>
            </w:r>
          </w:p>
        </w:tc>
      </w:tr>
    </w:tbl>
    <w:p>
      <w:pPr>
        <w:spacing w:line="480" w:lineRule="exact"/>
        <w:ind w:firstLine="480" w:firstLineChars="200"/>
        <w:rPr>
          <w:rFonts w:ascii="Times New Roman" w:hAnsi="Times New Roman" w:eastAsia="宋体" w:cs="Times New Roman"/>
          <w:kern w:val="0"/>
          <w:sz w:val="24"/>
          <w:szCs w:val="24"/>
        </w:rPr>
      </w:pPr>
    </w:p>
    <w:p>
      <w:pPr>
        <w:spacing w:line="480" w:lineRule="exact"/>
        <w:ind w:firstLine="480" w:firstLineChars="200"/>
        <w:rPr>
          <w:rFonts w:ascii="Times New Roman" w:hAnsi="Times New Roman" w:eastAsia="宋体" w:cs="Times New Roman"/>
          <w:kern w:val="0"/>
          <w:sz w:val="24"/>
          <w:szCs w:val="24"/>
        </w:rPr>
      </w:pPr>
    </w:p>
    <w:p>
      <w:pPr>
        <w:spacing w:line="480" w:lineRule="exact"/>
        <w:ind w:firstLine="480" w:firstLineChars="200"/>
        <w:rPr>
          <w:rFonts w:ascii="Times New Roman" w:hAnsi="Times New Roman" w:eastAsia="宋体" w:cs="Times New Roman"/>
          <w:kern w:val="0"/>
          <w:sz w:val="24"/>
          <w:szCs w:val="24"/>
        </w:rPr>
      </w:pPr>
    </w:p>
    <w:p>
      <w:pPr>
        <w:spacing w:line="480" w:lineRule="exact"/>
        <w:ind w:firstLine="480" w:firstLineChars="200"/>
        <w:rPr>
          <w:rFonts w:ascii="Times New Roman" w:hAnsi="Times New Roman" w:eastAsia="宋体" w:cs="Times New Roman"/>
          <w:kern w:val="0"/>
          <w:sz w:val="24"/>
          <w:szCs w:val="24"/>
        </w:rPr>
        <w:sectPr>
          <w:pgSz w:w="16838" w:h="11906" w:orient="landscape"/>
          <w:pgMar w:top="1800" w:right="1440" w:bottom="1800" w:left="1440" w:header="851" w:footer="992" w:gutter="0"/>
          <w:cols w:space="425" w:num="1"/>
          <w:docGrid w:type="lines" w:linePitch="312" w:charSpace="0"/>
        </w:sectPr>
      </w:pPr>
    </w:p>
    <w:p>
      <w:pPr>
        <w:spacing w:line="480" w:lineRule="exact"/>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表4.1-3</w:t>
      </w:r>
      <w:r>
        <w:rPr>
          <w:rFonts w:hint="eastAsia" w:ascii="Times New Roman" w:hAnsi="Times New Roman" w:eastAsia="黑体" w:cs="Times New Roman"/>
          <w:sz w:val="24"/>
          <w:szCs w:val="24"/>
        </w:rPr>
        <w:t xml:space="preserve">       </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 xml:space="preserve">  大气评价工作等级确定一览表</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185"/>
        <w:gridCol w:w="1185"/>
        <w:gridCol w:w="1185"/>
        <w:gridCol w:w="1185"/>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排放方式</w:t>
            </w:r>
          </w:p>
        </w:tc>
        <w:tc>
          <w:tcPr>
            <w:tcW w:w="118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污染源名称</w:t>
            </w:r>
          </w:p>
        </w:tc>
        <w:tc>
          <w:tcPr>
            <w:tcW w:w="118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污染物</w:t>
            </w:r>
          </w:p>
        </w:tc>
        <w:tc>
          <w:tcPr>
            <w:tcW w:w="118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Pmax（%）</w:t>
            </w:r>
          </w:p>
        </w:tc>
        <w:tc>
          <w:tcPr>
            <w:tcW w:w="118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D10%（m）</w:t>
            </w:r>
          </w:p>
        </w:tc>
        <w:tc>
          <w:tcPr>
            <w:tcW w:w="118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最大值出现距离（m）</w:t>
            </w:r>
          </w:p>
        </w:tc>
        <w:tc>
          <w:tcPr>
            <w:tcW w:w="1185"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有组织</w:t>
            </w:r>
          </w:p>
        </w:tc>
        <w:tc>
          <w:tcPr>
            <w:tcW w:w="1185"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减压炉</w:t>
            </w:r>
          </w:p>
        </w:tc>
        <w:tc>
          <w:tcPr>
            <w:tcW w:w="1185"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SO</w:t>
            </w:r>
            <w:r>
              <w:rPr>
                <w:rFonts w:ascii="Times New Roman" w:hAnsi="Times New Roman" w:eastAsia="宋体"/>
                <w:kern w:val="0"/>
                <w:szCs w:val="21"/>
                <w:vertAlign w:val="subscript"/>
              </w:rPr>
              <w:t>2</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0.52</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85"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336</w:t>
            </w:r>
          </w:p>
        </w:tc>
        <w:tc>
          <w:tcPr>
            <w:tcW w:w="1185"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NO</w:t>
            </w:r>
            <w:r>
              <w:rPr>
                <w:rFonts w:ascii="Times New Roman" w:hAnsi="Times New Roman" w:eastAsia="宋体"/>
                <w:kern w:val="0"/>
                <w:szCs w:val="21"/>
                <w:vertAlign w:val="subscript"/>
              </w:rPr>
              <w:t>2</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1.00</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PM</w:t>
            </w:r>
            <w:r>
              <w:rPr>
                <w:rFonts w:hint="eastAsia" w:ascii="Times New Roman" w:hAnsi="Times New Roman" w:eastAsia="宋体" w:cs="Times New Roman"/>
                <w:szCs w:val="21"/>
                <w:vertAlign w:val="subscript"/>
              </w:rPr>
              <w:t>10</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0.18</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导热油炉</w:t>
            </w:r>
          </w:p>
        </w:tc>
        <w:tc>
          <w:tcPr>
            <w:tcW w:w="1185"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SO</w:t>
            </w:r>
            <w:r>
              <w:rPr>
                <w:rFonts w:ascii="Times New Roman" w:hAnsi="Times New Roman" w:eastAsia="宋体"/>
                <w:kern w:val="0"/>
                <w:szCs w:val="21"/>
                <w:vertAlign w:val="subscript"/>
              </w:rPr>
              <w:t>2</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0.02</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85"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447</w:t>
            </w: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NO</w:t>
            </w:r>
            <w:r>
              <w:rPr>
                <w:rFonts w:ascii="Times New Roman" w:hAnsi="Times New Roman" w:eastAsia="宋体"/>
                <w:kern w:val="0"/>
                <w:szCs w:val="21"/>
                <w:vertAlign w:val="subscript"/>
              </w:rPr>
              <w:t>2</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1.47</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PM</w:t>
            </w:r>
            <w:r>
              <w:rPr>
                <w:rFonts w:hint="eastAsia" w:ascii="Times New Roman" w:hAnsi="Times New Roman" w:eastAsia="宋体" w:cs="Times New Roman"/>
                <w:szCs w:val="21"/>
                <w:vertAlign w:val="subscript"/>
              </w:rPr>
              <w:t>10</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0.25</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罐区</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非甲烷总烃</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0.78</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80</w:t>
            </w: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污水站</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非甲烷总烃</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0.01</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85"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70</w:t>
            </w: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NH</w:t>
            </w:r>
            <w:r>
              <w:rPr>
                <w:rFonts w:ascii="Times New Roman" w:hAnsi="Times New Roman" w:eastAsia="宋体"/>
                <w:kern w:val="0"/>
                <w:szCs w:val="21"/>
                <w:vertAlign w:val="subscript"/>
              </w:rPr>
              <w:t>3</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0.26</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H</w:t>
            </w:r>
            <w:r>
              <w:rPr>
                <w:rFonts w:ascii="Times New Roman" w:hAnsi="Times New Roman" w:eastAsia="宋体"/>
                <w:kern w:val="0"/>
                <w:szCs w:val="21"/>
                <w:vertAlign w:val="subscript"/>
              </w:rPr>
              <w:t>2</w:t>
            </w:r>
            <w:r>
              <w:rPr>
                <w:rFonts w:ascii="Times New Roman" w:hAnsi="Times New Roman" w:eastAsia="宋体"/>
                <w:kern w:val="0"/>
                <w:szCs w:val="21"/>
              </w:rPr>
              <w:t>S</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0.24</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无组织</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装卸平台</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非甲烷总烃</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0.24</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25</w:t>
            </w: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污水站</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非甲烷总烃</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0.09</w:t>
            </w:r>
          </w:p>
        </w:tc>
        <w:tc>
          <w:tcPr>
            <w:tcW w:w="1185" w:type="dxa"/>
            <w:vAlign w:val="center"/>
          </w:tcPr>
          <w:p>
            <w:pPr>
              <w:spacing w:line="240" w:lineRule="exact"/>
              <w:jc w:val="center"/>
              <w:rPr>
                <w:rFonts w:ascii="Times New Roman" w:hAnsi="Times New Roman" w:eastAsia="宋体" w:cs="Times New Roman"/>
                <w:szCs w:val="21"/>
              </w:rPr>
            </w:pP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96</w:t>
            </w: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NH</w:t>
            </w:r>
            <w:r>
              <w:rPr>
                <w:rFonts w:ascii="Times New Roman" w:hAnsi="Times New Roman" w:eastAsia="宋体"/>
                <w:kern w:val="0"/>
                <w:szCs w:val="21"/>
                <w:vertAlign w:val="subscript"/>
              </w:rPr>
              <w:t>3</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28.27</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275</w:t>
            </w:r>
          </w:p>
        </w:tc>
        <w:tc>
          <w:tcPr>
            <w:tcW w:w="1185"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30</w:t>
            </w:r>
          </w:p>
        </w:tc>
        <w:tc>
          <w:tcPr>
            <w:tcW w:w="1185"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Align w:val="center"/>
          </w:tcPr>
          <w:p>
            <w:pPr>
              <w:widowControl/>
              <w:jc w:val="center"/>
              <w:rPr>
                <w:rFonts w:ascii="Times New Roman" w:hAnsi="Times New Roman" w:eastAsia="宋体"/>
                <w:kern w:val="0"/>
                <w:szCs w:val="21"/>
              </w:rPr>
            </w:pPr>
            <w:r>
              <w:rPr>
                <w:rFonts w:ascii="Times New Roman" w:hAnsi="Times New Roman" w:eastAsia="宋体"/>
                <w:kern w:val="0"/>
                <w:szCs w:val="21"/>
              </w:rPr>
              <w:t>H</w:t>
            </w:r>
            <w:r>
              <w:rPr>
                <w:rFonts w:ascii="Times New Roman" w:hAnsi="Times New Roman" w:eastAsia="宋体"/>
                <w:kern w:val="0"/>
                <w:szCs w:val="21"/>
                <w:vertAlign w:val="subscript"/>
              </w:rPr>
              <w:t>2</w:t>
            </w:r>
            <w:r>
              <w:rPr>
                <w:rFonts w:ascii="Times New Roman" w:hAnsi="Times New Roman" w:eastAsia="宋体"/>
                <w:kern w:val="0"/>
                <w:szCs w:val="21"/>
              </w:rPr>
              <w:t>S</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26.45</w:t>
            </w:r>
          </w:p>
        </w:tc>
        <w:tc>
          <w:tcPr>
            <w:tcW w:w="118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275</w:t>
            </w:r>
          </w:p>
        </w:tc>
        <w:tc>
          <w:tcPr>
            <w:tcW w:w="1185" w:type="dxa"/>
            <w:vMerge w:val="continue"/>
            <w:vAlign w:val="center"/>
          </w:tcPr>
          <w:p>
            <w:pPr>
              <w:spacing w:line="240" w:lineRule="exact"/>
              <w:jc w:val="center"/>
              <w:rPr>
                <w:rFonts w:ascii="Times New Roman" w:hAnsi="Times New Roman" w:eastAsia="宋体" w:cs="Times New Roman"/>
                <w:szCs w:val="21"/>
              </w:rPr>
            </w:pPr>
          </w:p>
        </w:tc>
        <w:tc>
          <w:tcPr>
            <w:tcW w:w="1185" w:type="dxa"/>
            <w:vMerge w:val="continue"/>
            <w:vAlign w:val="center"/>
          </w:tcPr>
          <w:p>
            <w:pPr>
              <w:spacing w:line="240" w:lineRule="exact"/>
              <w:jc w:val="center"/>
              <w:rPr>
                <w:rFonts w:ascii="Times New Roman" w:hAnsi="Times New Roman" w:eastAsia="宋体" w:cs="Times New Roman"/>
                <w:szCs w:val="21"/>
              </w:rPr>
            </w:pPr>
          </w:p>
        </w:tc>
      </w:tr>
    </w:tbl>
    <w:p>
      <w:pPr>
        <w:spacing w:line="480" w:lineRule="exact"/>
        <w:ind w:firstLine="480" w:firstLineChars="200"/>
        <w:rPr>
          <w:rFonts w:ascii="Times New Roman" w:hAnsi="宋体" w:eastAsia="宋体" w:cs="Times New Roman"/>
          <w:bCs/>
          <w:sz w:val="24"/>
          <w:szCs w:val="24"/>
        </w:rPr>
      </w:pPr>
      <w:r>
        <w:rPr>
          <w:rFonts w:ascii="Times New Roman" w:hAnsi="宋体" w:eastAsia="宋体" w:cs="Times New Roman"/>
          <w:bCs/>
          <w:sz w:val="24"/>
          <w:szCs w:val="24"/>
        </w:rPr>
        <w:t>从上表中可以看出，</w:t>
      </w:r>
      <w:r>
        <w:rPr>
          <w:rFonts w:hint="eastAsia" w:ascii="Times New Roman" w:hAnsi="宋体" w:eastAsia="宋体" w:cs="Times New Roman"/>
          <w:bCs/>
          <w:sz w:val="24"/>
          <w:szCs w:val="24"/>
        </w:rPr>
        <w:t>变更后，</w:t>
      </w:r>
      <w:r>
        <w:rPr>
          <w:rFonts w:ascii="Times New Roman" w:hAnsi="宋体" w:eastAsia="宋体" w:cs="Times New Roman"/>
          <w:bCs/>
          <w:sz w:val="24"/>
          <w:szCs w:val="24"/>
        </w:rPr>
        <w:t>本项目正常工况下主要污染物排放中，</w:t>
      </w:r>
      <w:r>
        <w:rPr>
          <w:rFonts w:hint="eastAsia" w:ascii="Times New Roman" w:hAnsi="宋体" w:eastAsia="宋体" w:cs="Times New Roman"/>
          <w:bCs/>
          <w:sz w:val="24"/>
          <w:szCs w:val="24"/>
        </w:rPr>
        <w:t>污水站</w:t>
      </w:r>
      <w:r>
        <w:rPr>
          <w:rFonts w:ascii="Times New Roman" w:hAnsi="宋体" w:eastAsia="宋体" w:cs="Times New Roman"/>
          <w:bCs/>
          <w:sz w:val="24"/>
          <w:szCs w:val="24"/>
        </w:rPr>
        <w:t>面源排放</w:t>
      </w:r>
      <w:r>
        <w:rPr>
          <w:rFonts w:hint="eastAsia" w:ascii="Times New Roman" w:hAnsi="宋体" w:eastAsia="宋体" w:cs="Times New Roman"/>
          <w:bCs/>
          <w:sz w:val="24"/>
          <w:szCs w:val="24"/>
        </w:rPr>
        <w:t>污染物</w:t>
      </w:r>
      <w:r>
        <w:rPr>
          <w:rFonts w:ascii="Times New Roman" w:hAnsi="宋体" w:eastAsia="宋体" w:cs="Times New Roman"/>
          <w:bCs/>
          <w:sz w:val="24"/>
          <w:szCs w:val="24"/>
        </w:rPr>
        <w:t>最大占标率为：28.27%，占标率10%的最远距离D10%：300</w:t>
      </w:r>
      <w:r>
        <w:rPr>
          <w:rFonts w:hint="eastAsia" w:ascii="Times New Roman" w:hAnsi="宋体" w:eastAsia="宋体" w:cs="Times New Roman"/>
          <w:bCs/>
          <w:sz w:val="24"/>
          <w:szCs w:val="24"/>
        </w:rPr>
        <w:t>m</w:t>
      </w:r>
      <w:r>
        <w:rPr>
          <w:rFonts w:ascii="Times New Roman" w:hAnsi="宋体" w:eastAsia="宋体" w:cs="Times New Roman"/>
          <w:bCs/>
          <w:sz w:val="24"/>
          <w:szCs w:val="24"/>
        </w:rPr>
        <w:t>，建议评价范围</w:t>
      </w:r>
      <w:r>
        <w:rPr>
          <w:rFonts w:hint="eastAsia" w:ascii="Times New Roman" w:hAnsi="宋体" w:eastAsia="宋体" w:cs="Times New Roman"/>
          <w:bCs/>
          <w:sz w:val="24"/>
          <w:szCs w:val="24"/>
        </w:rPr>
        <w:t>边长取5km</w:t>
      </w:r>
      <w:r>
        <w:rPr>
          <w:rFonts w:ascii="Times New Roman" w:hAnsi="宋体" w:eastAsia="宋体" w:cs="Times New Roman"/>
          <w:bCs/>
          <w:sz w:val="24"/>
          <w:szCs w:val="24"/>
        </w:rPr>
        <w:t>，最大占标率Pmax</w:t>
      </w:r>
      <w:r>
        <w:rPr>
          <w:rFonts w:ascii="Times New Roman" w:hAnsi="Times New Roman" w:eastAsia="宋体" w:cs="Times New Roman"/>
          <w:sz w:val="24"/>
          <w:szCs w:val="24"/>
        </w:rPr>
        <w:t>≥10%</w:t>
      </w:r>
      <w:r>
        <w:rPr>
          <w:rFonts w:ascii="Times New Roman" w:hAnsi="宋体" w:eastAsia="宋体" w:cs="Times New Roman"/>
          <w:bCs/>
          <w:sz w:val="24"/>
          <w:szCs w:val="24"/>
        </w:rPr>
        <w:t>，根据《环境影响评价技术导则大气环境》（HJ2.2-2018）中评价工作分级方法，</w:t>
      </w:r>
      <w:r>
        <w:rPr>
          <w:rFonts w:hint="eastAsia" w:ascii="Times New Roman" w:hAnsi="Times New Roman" w:eastAsia="宋体" w:cs="Times New Roman"/>
          <w:kern w:val="0"/>
          <w:sz w:val="24"/>
          <w:szCs w:val="24"/>
        </w:rPr>
        <w:t>项目变更后，</w:t>
      </w:r>
      <w:r>
        <w:rPr>
          <w:rFonts w:ascii="Times New Roman" w:hAnsi="宋体" w:eastAsia="宋体" w:cs="Times New Roman"/>
          <w:bCs/>
          <w:sz w:val="24"/>
          <w:szCs w:val="24"/>
        </w:rPr>
        <w:t>大气环境影响评价建议评价等级为</w:t>
      </w:r>
      <w:r>
        <w:rPr>
          <w:rFonts w:hint="eastAsia" w:ascii="Times New Roman" w:hAnsi="宋体" w:eastAsia="宋体" w:cs="Times New Roman"/>
          <w:bCs/>
          <w:sz w:val="24"/>
          <w:szCs w:val="24"/>
        </w:rPr>
        <w:t>一级</w:t>
      </w:r>
      <w:r>
        <w:rPr>
          <w:rFonts w:ascii="Times New Roman" w:hAnsi="宋体" w:eastAsia="宋体" w:cs="Times New Roman"/>
          <w:bCs/>
          <w:sz w:val="24"/>
          <w:szCs w:val="24"/>
        </w:rPr>
        <w:t>。评价范围</w:t>
      </w:r>
      <w:r>
        <w:rPr>
          <w:rFonts w:hint="eastAsia" w:ascii="Times New Roman" w:hAnsi="宋体" w:eastAsia="宋体" w:cs="Times New Roman"/>
          <w:bCs/>
          <w:sz w:val="24"/>
          <w:szCs w:val="24"/>
        </w:rPr>
        <w:t>为</w:t>
      </w:r>
      <w:r>
        <w:rPr>
          <w:rFonts w:ascii="Times New Roman" w:hAnsi="宋体" w:eastAsia="宋体" w:cs="Times New Roman"/>
          <w:bCs/>
          <w:sz w:val="24"/>
          <w:szCs w:val="24"/>
        </w:rPr>
        <w:t>以污染源为中心，边长为5km的</w:t>
      </w:r>
      <w:r>
        <w:rPr>
          <w:rFonts w:hint="eastAsia" w:ascii="Times New Roman" w:hAnsi="宋体" w:eastAsia="宋体" w:cs="Times New Roman"/>
          <w:bCs/>
          <w:sz w:val="24"/>
          <w:szCs w:val="24"/>
        </w:rPr>
        <w:t>矩形</w:t>
      </w:r>
      <w:r>
        <w:rPr>
          <w:rFonts w:ascii="Times New Roman" w:hAnsi="宋体" w:eastAsia="宋体" w:cs="Times New Roman"/>
          <w:bCs/>
          <w:sz w:val="24"/>
          <w:szCs w:val="24"/>
        </w:rPr>
        <w:t>。</w:t>
      </w:r>
    </w:p>
    <w:p>
      <w:pPr>
        <w:pStyle w:val="40"/>
        <w:rPr>
          <w:snapToGrid w:val="0"/>
          <w:color w:val="auto"/>
        </w:rPr>
      </w:pPr>
      <w:bookmarkStart w:id="58" w:name="_Toc8391557"/>
      <w:r>
        <w:rPr>
          <w:rFonts w:hint="eastAsia"/>
          <w:snapToGrid w:val="0"/>
          <w:color w:val="auto"/>
        </w:rPr>
        <w:t>4</w:t>
      </w:r>
      <w:r>
        <w:rPr>
          <w:snapToGrid w:val="0"/>
          <w:color w:val="auto"/>
        </w:rPr>
        <w:t>.1.5</w:t>
      </w:r>
      <w:r>
        <w:rPr>
          <w:rFonts w:hint="eastAsia"/>
          <w:snapToGrid w:val="0"/>
          <w:color w:val="auto"/>
        </w:rPr>
        <w:t>预测范围</w:t>
      </w:r>
      <w:bookmarkEnd w:id="58"/>
    </w:p>
    <w:p>
      <w:pPr>
        <w:spacing w:line="480" w:lineRule="exact"/>
        <w:ind w:firstLine="480" w:firstLineChars="200"/>
        <w:rPr>
          <w:rFonts w:ascii="Times New Roman" w:hAnsi="宋体" w:eastAsia="宋体" w:cs="Times New Roman"/>
          <w:bCs/>
          <w:sz w:val="24"/>
          <w:szCs w:val="24"/>
        </w:rPr>
      </w:pPr>
      <w:r>
        <w:rPr>
          <w:rFonts w:ascii="Times New Roman" w:hAnsi="宋体" w:eastAsia="宋体" w:cs="Times New Roman"/>
          <w:bCs/>
          <w:sz w:val="24"/>
          <w:szCs w:val="24"/>
        </w:rPr>
        <w:t>选择以本项目厂址为中心区域，自厂界向东</w:t>
      </w:r>
      <w:r>
        <w:rPr>
          <w:rFonts w:hint="eastAsia" w:ascii="Times New Roman" w:hAnsi="宋体" w:eastAsia="宋体" w:cs="Times New Roman"/>
          <w:bCs/>
          <w:sz w:val="24"/>
          <w:szCs w:val="24"/>
        </w:rPr>
        <w:t>、</w:t>
      </w:r>
      <w:r>
        <w:rPr>
          <w:rFonts w:ascii="Times New Roman" w:hAnsi="宋体" w:eastAsia="宋体" w:cs="Times New Roman"/>
          <w:bCs/>
          <w:sz w:val="24"/>
          <w:szCs w:val="24"/>
        </w:rPr>
        <w:t>西</w:t>
      </w:r>
      <w:r>
        <w:rPr>
          <w:rFonts w:hint="eastAsia" w:ascii="Times New Roman" w:hAnsi="宋体" w:eastAsia="宋体" w:cs="Times New Roman"/>
          <w:bCs/>
          <w:sz w:val="24"/>
          <w:szCs w:val="24"/>
        </w:rPr>
        <w:t>、南、北</w:t>
      </w:r>
      <w:r>
        <w:rPr>
          <w:rFonts w:ascii="Times New Roman" w:hAnsi="宋体" w:eastAsia="宋体" w:cs="Times New Roman"/>
          <w:bCs/>
          <w:sz w:val="24"/>
          <w:szCs w:val="24"/>
        </w:rPr>
        <w:t>延伸2.5km的</w:t>
      </w:r>
      <w:r>
        <w:rPr>
          <w:rFonts w:hint="eastAsia" w:ascii="Times New Roman" w:hAnsi="宋体" w:eastAsia="宋体" w:cs="Times New Roman"/>
          <w:bCs/>
          <w:sz w:val="24"/>
          <w:szCs w:val="24"/>
        </w:rPr>
        <w:t>矩</w:t>
      </w:r>
      <w:r>
        <w:rPr>
          <w:rFonts w:ascii="Times New Roman" w:hAnsi="宋体" w:eastAsia="宋体" w:cs="Times New Roman"/>
          <w:bCs/>
          <w:sz w:val="24"/>
          <w:szCs w:val="24"/>
        </w:rPr>
        <w:t>形区域，以东西向为X轴，以南北向为Y轴，以项目厂址为中心为原点建立坐标系。</w:t>
      </w:r>
    </w:p>
    <w:p>
      <w:pPr>
        <w:pStyle w:val="40"/>
        <w:rPr>
          <w:snapToGrid w:val="0"/>
          <w:color w:val="auto"/>
        </w:rPr>
      </w:pPr>
      <w:bookmarkStart w:id="59" w:name="_Toc8391558"/>
      <w:r>
        <w:rPr>
          <w:rFonts w:hint="eastAsia"/>
          <w:snapToGrid w:val="0"/>
          <w:color w:val="auto"/>
        </w:rPr>
        <w:t>4</w:t>
      </w:r>
      <w:r>
        <w:rPr>
          <w:snapToGrid w:val="0"/>
          <w:color w:val="auto"/>
        </w:rPr>
        <w:t>.1.6计算点</w:t>
      </w:r>
      <w:bookmarkEnd w:id="59"/>
    </w:p>
    <w:p>
      <w:pPr>
        <w:spacing w:line="48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预测计算点包括：预测范围内环境空气敏感区、预测范围内网格点以及最大地面浓度点。</w:t>
      </w:r>
    </w:p>
    <w:p>
      <w:pPr>
        <w:spacing w:line="48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①</w:t>
      </w:r>
      <w:r>
        <w:rPr>
          <w:rFonts w:ascii="Times New Roman" w:hAnsi="Times New Roman" w:eastAsia="宋体" w:cs="Times New Roman"/>
          <w:kern w:val="0"/>
          <w:sz w:val="24"/>
          <w:szCs w:val="24"/>
        </w:rPr>
        <w:t>环境空气敏感目标</w:t>
      </w:r>
    </w:p>
    <w:p>
      <w:pPr>
        <w:spacing w:line="48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将本次评价的环境空气保护目标作为预测计算点，各关心点位置关系见表4.1-4。</w:t>
      </w:r>
    </w:p>
    <w:p>
      <w:pPr>
        <w:spacing w:line="480" w:lineRule="exact"/>
        <w:ind w:firstLine="480" w:firstLineChars="200"/>
        <w:rPr>
          <w:rFonts w:ascii="Times New Roman" w:hAnsi="Times New Roman" w:eastAsia="黑体" w:cs="Times New Roman"/>
          <w:sz w:val="24"/>
        </w:rPr>
      </w:pPr>
      <w:r>
        <w:rPr>
          <w:rFonts w:ascii="Times New Roman" w:hAnsi="Times New Roman" w:eastAsia="黑体" w:cs="Times New Roman"/>
          <w:sz w:val="24"/>
        </w:rPr>
        <w:t>表4.1-4</w:t>
      </w:r>
      <w:r>
        <w:rPr>
          <w:rFonts w:hint="eastAsia" w:ascii="Times New Roman" w:hAnsi="Times New Roman" w:eastAsia="黑体" w:cs="Times New Roman"/>
          <w:sz w:val="24"/>
        </w:rPr>
        <w:t xml:space="preserve">         </w:t>
      </w:r>
      <w:r>
        <w:rPr>
          <w:rFonts w:ascii="Times New Roman" w:hAnsi="Times New Roman" w:eastAsia="黑体" w:cs="Times New Roman"/>
          <w:sz w:val="24"/>
        </w:rPr>
        <w:t>各关心点坐标及地形高程一览表</w:t>
      </w:r>
    </w:p>
    <w:tbl>
      <w:tblPr>
        <w:tblStyle w:val="1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627"/>
        <w:gridCol w:w="1478"/>
        <w:gridCol w:w="1478"/>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2" w:type="dxa"/>
            <w:vAlign w:val="center"/>
          </w:tcPr>
          <w:p>
            <w:pPr>
              <w:widowControl/>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2627" w:type="dxa"/>
            <w:vAlign w:val="center"/>
          </w:tcPr>
          <w:p>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名称</w:t>
            </w:r>
          </w:p>
        </w:tc>
        <w:tc>
          <w:tcPr>
            <w:tcW w:w="1478" w:type="dxa"/>
            <w:vAlign w:val="center"/>
          </w:tcPr>
          <w:p>
            <w:pPr>
              <w:widowControl/>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X（m）</w:t>
            </w:r>
          </w:p>
        </w:tc>
        <w:tc>
          <w:tcPr>
            <w:tcW w:w="1478" w:type="dxa"/>
            <w:vAlign w:val="center"/>
          </w:tcPr>
          <w:p>
            <w:pPr>
              <w:widowControl/>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Y（m）</w:t>
            </w:r>
          </w:p>
        </w:tc>
        <w:tc>
          <w:tcPr>
            <w:tcW w:w="1901" w:type="dxa"/>
            <w:vAlign w:val="center"/>
          </w:tcPr>
          <w:p>
            <w:pPr>
              <w:widowControl/>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海拔高度（m）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2" w:type="dxa"/>
            <w:vAlign w:val="center"/>
          </w:tcPr>
          <w:p>
            <w:pPr>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1</w:t>
            </w:r>
          </w:p>
        </w:tc>
        <w:tc>
          <w:tcPr>
            <w:tcW w:w="2627" w:type="dxa"/>
            <w:vAlign w:val="center"/>
          </w:tcPr>
          <w:p>
            <w:pPr>
              <w:autoSpaceDN w:val="0"/>
              <w:adjustRightInd w:val="0"/>
              <w:snapToGrid w:val="0"/>
              <w:spacing w:line="240" w:lineRule="atLeast"/>
              <w:jc w:val="center"/>
              <w:textAlignment w:val="center"/>
              <w:rPr>
                <w:rFonts w:ascii="Times New Roman" w:hAnsi="Times New Roman" w:eastAsia="宋体" w:cs="Times New Roman"/>
                <w:szCs w:val="21"/>
              </w:rPr>
            </w:pPr>
            <w:r>
              <w:rPr>
                <w:rFonts w:ascii="Times New Roman" w:hAnsi="Times New Roman" w:eastAsia="宋体" w:cs="Times New Roman"/>
                <w:szCs w:val="21"/>
              </w:rPr>
              <w:t>谷家庄村</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628</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2894</w:t>
            </w:r>
          </w:p>
        </w:tc>
        <w:tc>
          <w:tcPr>
            <w:tcW w:w="190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2" w:type="dxa"/>
            <w:vAlign w:val="center"/>
          </w:tcPr>
          <w:p>
            <w:pPr>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2</w:t>
            </w:r>
          </w:p>
        </w:tc>
        <w:tc>
          <w:tcPr>
            <w:tcW w:w="2627" w:type="dxa"/>
            <w:vAlign w:val="center"/>
          </w:tcPr>
          <w:p>
            <w:pPr>
              <w:autoSpaceDN w:val="0"/>
              <w:adjustRightInd w:val="0"/>
              <w:snapToGrid w:val="0"/>
              <w:spacing w:line="240" w:lineRule="atLeast"/>
              <w:jc w:val="center"/>
              <w:textAlignment w:val="center"/>
              <w:rPr>
                <w:rFonts w:ascii="Times New Roman" w:hAnsi="Times New Roman" w:eastAsia="宋体" w:cs="Times New Roman"/>
                <w:szCs w:val="21"/>
              </w:rPr>
            </w:pPr>
            <w:r>
              <w:rPr>
                <w:rFonts w:ascii="Times New Roman" w:hAnsi="Times New Roman" w:eastAsia="宋体" w:cs="Times New Roman"/>
                <w:szCs w:val="21"/>
              </w:rPr>
              <w:t>胡乜村</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3618</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-480</w:t>
            </w:r>
          </w:p>
        </w:tc>
        <w:tc>
          <w:tcPr>
            <w:tcW w:w="190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2" w:type="dxa"/>
            <w:vAlign w:val="center"/>
          </w:tcPr>
          <w:p>
            <w:pPr>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3</w:t>
            </w:r>
          </w:p>
        </w:tc>
        <w:tc>
          <w:tcPr>
            <w:tcW w:w="2627" w:type="dxa"/>
            <w:vAlign w:val="center"/>
          </w:tcPr>
          <w:p>
            <w:pPr>
              <w:autoSpaceDN w:val="0"/>
              <w:adjustRightInd w:val="0"/>
              <w:snapToGrid w:val="0"/>
              <w:spacing w:line="240" w:lineRule="atLeast"/>
              <w:jc w:val="center"/>
              <w:textAlignment w:val="center"/>
              <w:rPr>
                <w:rFonts w:ascii="Times New Roman" w:hAnsi="Times New Roman" w:eastAsia="宋体" w:cs="Times New Roman"/>
                <w:szCs w:val="21"/>
              </w:rPr>
            </w:pPr>
            <w:r>
              <w:rPr>
                <w:rFonts w:ascii="Times New Roman" w:hAnsi="Times New Roman" w:eastAsia="宋体" w:cs="Times New Roman"/>
                <w:szCs w:val="21"/>
              </w:rPr>
              <w:t>康呼村</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-734</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-2144</w:t>
            </w:r>
          </w:p>
        </w:tc>
        <w:tc>
          <w:tcPr>
            <w:tcW w:w="190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2" w:type="dxa"/>
            <w:vAlign w:val="center"/>
          </w:tcPr>
          <w:p>
            <w:pPr>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4</w:t>
            </w:r>
          </w:p>
        </w:tc>
        <w:tc>
          <w:tcPr>
            <w:tcW w:w="2627" w:type="dxa"/>
            <w:vAlign w:val="center"/>
          </w:tcPr>
          <w:p>
            <w:pPr>
              <w:autoSpaceDN w:val="0"/>
              <w:adjustRightInd w:val="0"/>
              <w:snapToGrid w:val="0"/>
              <w:spacing w:line="240" w:lineRule="atLeast"/>
              <w:jc w:val="center"/>
              <w:textAlignment w:val="center"/>
              <w:rPr>
                <w:rFonts w:ascii="Times New Roman" w:hAnsi="Times New Roman" w:eastAsia="宋体" w:cs="Times New Roman"/>
                <w:szCs w:val="21"/>
              </w:rPr>
            </w:pPr>
            <w:r>
              <w:rPr>
                <w:rFonts w:ascii="Times New Roman" w:hAnsi="Times New Roman" w:eastAsia="宋体" w:cs="Times New Roman"/>
                <w:szCs w:val="21"/>
              </w:rPr>
              <w:t>濮阳职业技术学院</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-1589</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958</w:t>
            </w:r>
          </w:p>
        </w:tc>
        <w:tc>
          <w:tcPr>
            <w:tcW w:w="190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2" w:type="dxa"/>
            <w:vAlign w:val="center"/>
          </w:tcPr>
          <w:p>
            <w:pPr>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5</w:t>
            </w:r>
          </w:p>
        </w:tc>
        <w:tc>
          <w:tcPr>
            <w:tcW w:w="2627" w:type="dxa"/>
            <w:vAlign w:val="center"/>
          </w:tcPr>
          <w:p>
            <w:pPr>
              <w:autoSpaceDN w:val="0"/>
              <w:adjustRightInd w:val="0"/>
              <w:snapToGrid w:val="0"/>
              <w:spacing w:line="240" w:lineRule="atLeast"/>
              <w:jc w:val="center"/>
              <w:textAlignment w:val="center"/>
              <w:rPr>
                <w:rFonts w:ascii="Times New Roman" w:hAnsi="Times New Roman" w:eastAsia="宋体" w:cs="Times New Roman"/>
                <w:szCs w:val="21"/>
              </w:rPr>
            </w:pPr>
            <w:r>
              <w:rPr>
                <w:rFonts w:ascii="Times New Roman" w:hAnsi="Times New Roman" w:eastAsia="宋体" w:cs="Times New Roman"/>
                <w:szCs w:val="21"/>
              </w:rPr>
              <w:t>后漳消村</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1415</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-684</w:t>
            </w:r>
          </w:p>
        </w:tc>
        <w:tc>
          <w:tcPr>
            <w:tcW w:w="190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2" w:type="dxa"/>
            <w:vAlign w:val="center"/>
          </w:tcPr>
          <w:p>
            <w:pPr>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6</w:t>
            </w:r>
          </w:p>
        </w:tc>
        <w:tc>
          <w:tcPr>
            <w:tcW w:w="2627" w:type="dxa"/>
            <w:vAlign w:val="center"/>
          </w:tcPr>
          <w:p>
            <w:pPr>
              <w:autoSpaceDN w:val="0"/>
              <w:adjustRightInd w:val="0"/>
              <w:snapToGrid w:val="0"/>
              <w:spacing w:line="240" w:lineRule="atLeast"/>
              <w:jc w:val="center"/>
              <w:textAlignment w:val="center"/>
              <w:rPr>
                <w:rFonts w:ascii="Times New Roman" w:hAnsi="Times New Roman" w:eastAsia="宋体" w:cs="Times New Roman"/>
                <w:szCs w:val="21"/>
              </w:rPr>
            </w:pPr>
            <w:r>
              <w:rPr>
                <w:rFonts w:ascii="Times New Roman" w:hAnsi="Times New Roman" w:eastAsia="宋体" w:cs="Times New Roman"/>
                <w:szCs w:val="21"/>
              </w:rPr>
              <w:t>后黄甫村</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-2657</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-56</w:t>
            </w:r>
          </w:p>
        </w:tc>
        <w:tc>
          <w:tcPr>
            <w:tcW w:w="190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2" w:type="dxa"/>
            <w:vAlign w:val="center"/>
          </w:tcPr>
          <w:p>
            <w:pPr>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7</w:t>
            </w:r>
          </w:p>
        </w:tc>
        <w:tc>
          <w:tcPr>
            <w:tcW w:w="2627" w:type="dxa"/>
            <w:vAlign w:val="center"/>
          </w:tcPr>
          <w:p>
            <w:pPr>
              <w:autoSpaceDN w:val="0"/>
              <w:adjustRightInd w:val="0"/>
              <w:snapToGrid w:val="0"/>
              <w:spacing w:line="240" w:lineRule="atLeast"/>
              <w:jc w:val="center"/>
              <w:textAlignment w:val="center"/>
              <w:rPr>
                <w:rFonts w:ascii="Times New Roman" w:hAnsi="Times New Roman" w:eastAsia="宋体" w:cs="Times New Roman"/>
                <w:szCs w:val="21"/>
              </w:rPr>
            </w:pPr>
            <w:r>
              <w:rPr>
                <w:rFonts w:ascii="Times New Roman" w:hAnsi="Times New Roman" w:eastAsia="宋体" w:cs="Times New Roman"/>
                <w:szCs w:val="21"/>
              </w:rPr>
              <w:t>前漳消村</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1249</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-2000</w:t>
            </w:r>
          </w:p>
        </w:tc>
        <w:tc>
          <w:tcPr>
            <w:tcW w:w="190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2" w:type="dxa"/>
            <w:vAlign w:val="center"/>
          </w:tcPr>
          <w:p>
            <w:pPr>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8</w:t>
            </w:r>
          </w:p>
        </w:tc>
        <w:tc>
          <w:tcPr>
            <w:tcW w:w="2627" w:type="dxa"/>
            <w:vAlign w:val="center"/>
          </w:tcPr>
          <w:p>
            <w:pPr>
              <w:autoSpaceDN w:val="0"/>
              <w:adjustRightInd w:val="0"/>
              <w:snapToGrid w:val="0"/>
              <w:spacing w:line="240" w:lineRule="atLeast"/>
              <w:jc w:val="center"/>
              <w:textAlignment w:val="center"/>
              <w:rPr>
                <w:rFonts w:ascii="Times New Roman" w:hAnsi="Times New Roman" w:eastAsia="宋体" w:cs="Times New Roman"/>
                <w:szCs w:val="21"/>
              </w:rPr>
            </w:pPr>
            <w:r>
              <w:rPr>
                <w:rFonts w:ascii="Times New Roman" w:hAnsi="Times New Roman" w:eastAsia="宋体" w:cs="Times New Roman"/>
                <w:szCs w:val="21"/>
              </w:rPr>
              <w:t>韩庄村</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3837</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1147</w:t>
            </w:r>
          </w:p>
        </w:tc>
        <w:tc>
          <w:tcPr>
            <w:tcW w:w="190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2" w:type="dxa"/>
            <w:vAlign w:val="center"/>
          </w:tcPr>
          <w:p>
            <w:pPr>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9</w:t>
            </w:r>
          </w:p>
        </w:tc>
        <w:tc>
          <w:tcPr>
            <w:tcW w:w="2627" w:type="dxa"/>
            <w:vAlign w:val="center"/>
          </w:tcPr>
          <w:p>
            <w:pPr>
              <w:autoSpaceDN w:val="0"/>
              <w:adjustRightInd w:val="0"/>
              <w:snapToGrid w:val="0"/>
              <w:spacing w:line="240" w:lineRule="atLeast"/>
              <w:jc w:val="center"/>
              <w:textAlignment w:val="center"/>
              <w:rPr>
                <w:rFonts w:ascii="Times New Roman" w:hAnsi="Times New Roman" w:eastAsia="宋体" w:cs="Times New Roman"/>
                <w:szCs w:val="21"/>
              </w:rPr>
            </w:pPr>
            <w:r>
              <w:rPr>
                <w:rFonts w:ascii="Times New Roman" w:hAnsi="Times New Roman" w:eastAsia="宋体" w:cs="Times New Roman"/>
                <w:szCs w:val="21"/>
              </w:rPr>
              <w:t>油坊村</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-1536</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-2257</w:t>
            </w:r>
          </w:p>
        </w:tc>
        <w:tc>
          <w:tcPr>
            <w:tcW w:w="190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2" w:type="dxa"/>
            <w:vAlign w:val="center"/>
          </w:tcPr>
          <w:p>
            <w:pPr>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10</w:t>
            </w:r>
          </w:p>
        </w:tc>
        <w:tc>
          <w:tcPr>
            <w:tcW w:w="2627" w:type="dxa"/>
            <w:vAlign w:val="center"/>
          </w:tcPr>
          <w:p>
            <w:pPr>
              <w:snapToGrid w:val="0"/>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张康呼</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-1014</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-2303</w:t>
            </w:r>
          </w:p>
        </w:tc>
        <w:tc>
          <w:tcPr>
            <w:tcW w:w="190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2" w:type="dxa"/>
            <w:vAlign w:val="center"/>
          </w:tcPr>
          <w:p>
            <w:pPr>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11</w:t>
            </w:r>
          </w:p>
        </w:tc>
        <w:tc>
          <w:tcPr>
            <w:tcW w:w="2627" w:type="dxa"/>
            <w:vAlign w:val="center"/>
          </w:tcPr>
          <w:p>
            <w:pPr>
              <w:snapToGrid w:val="0"/>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刘康呼</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-469</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-2393</w:t>
            </w:r>
          </w:p>
        </w:tc>
        <w:tc>
          <w:tcPr>
            <w:tcW w:w="190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2" w:type="dxa"/>
            <w:vAlign w:val="center"/>
          </w:tcPr>
          <w:p>
            <w:pPr>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12</w:t>
            </w:r>
          </w:p>
        </w:tc>
        <w:tc>
          <w:tcPr>
            <w:tcW w:w="2627" w:type="dxa"/>
            <w:vAlign w:val="center"/>
          </w:tcPr>
          <w:p>
            <w:pPr>
              <w:snapToGrid w:val="0"/>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蔡王合村</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3194</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-1849</w:t>
            </w:r>
          </w:p>
        </w:tc>
        <w:tc>
          <w:tcPr>
            <w:tcW w:w="190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2" w:type="dxa"/>
            <w:vAlign w:val="center"/>
          </w:tcPr>
          <w:p>
            <w:pPr>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13</w:t>
            </w:r>
          </w:p>
        </w:tc>
        <w:tc>
          <w:tcPr>
            <w:tcW w:w="2627" w:type="dxa"/>
            <w:vAlign w:val="center"/>
          </w:tcPr>
          <w:p>
            <w:pPr>
              <w:snapToGrid w:val="0"/>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前皇甫村</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-2785</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-532</w:t>
            </w:r>
          </w:p>
        </w:tc>
        <w:tc>
          <w:tcPr>
            <w:tcW w:w="190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2" w:type="dxa"/>
            <w:vAlign w:val="center"/>
          </w:tcPr>
          <w:p>
            <w:pPr>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14</w:t>
            </w:r>
          </w:p>
        </w:tc>
        <w:tc>
          <w:tcPr>
            <w:tcW w:w="2627" w:type="dxa"/>
            <w:vAlign w:val="center"/>
          </w:tcPr>
          <w:p>
            <w:pPr>
              <w:snapToGrid w:val="0"/>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吕家庄村</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764</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3182</w:t>
            </w:r>
          </w:p>
        </w:tc>
        <w:tc>
          <w:tcPr>
            <w:tcW w:w="190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2" w:type="dxa"/>
            <w:vAlign w:val="center"/>
          </w:tcPr>
          <w:p>
            <w:pPr>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15</w:t>
            </w:r>
          </w:p>
        </w:tc>
        <w:tc>
          <w:tcPr>
            <w:tcW w:w="2627" w:type="dxa"/>
            <w:vAlign w:val="center"/>
          </w:tcPr>
          <w:p>
            <w:pPr>
              <w:snapToGrid w:val="0"/>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杜家庄</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1325</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3076</w:t>
            </w:r>
          </w:p>
        </w:tc>
        <w:tc>
          <w:tcPr>
            <w:tcW w:w="190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2" w:type="dxa"/>
            <w:vAlign w:val="center"/>
          </w:tcPr>
          <w:p>
            <w:pPr>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16</w:t>
            </w:r>
          </w:p>
        </w:tc>
        <w:tc>
          <w:tcPr>
            <w:tcW w:w="2627" w:type="dxa"/>
            <w:vAlign w:val="center"/>
          </w:tcPr>
          <w:p>
            <w:pPr>
              <w:snapToGrid w:val="0"/>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濮阳世锦园</w:t>
            </w:r>
          </w:p>
          <w:p>
            <w:pPr>
              <w:snapToGrid w:val="0"/>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（国家3A级景区）</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-621</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1238</w:t>
            </w:r>
          </w:p>
        </w:tc>
        <w:tc>
          <w:tcPr>
            <w:tcW w:w="190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2" w:type="dxa"/>
            <w:vAlign w:val="center"/>
          </w:tcPr>
          <w:p>
            <w:pPr>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17</w:t>
            </w:r>
          </w:p>
        </w:tc>
        <w:tc>
          <w:tcPr>
            <w:tcW w:w="2627" w:type="dxa"/>
            <w:vAlign w:val="center"/>
          </w:tcPr>
          <w:p>
            <w:pPr>
              <w:snapToGrid w:val="0"/>
              <w:spacing w:line="240" w:lineRule="exact"/>
              <w:jc w:val="center"/>
              <w:rPr>
                <w:rFonts w:ascii="Times New Roman" w:hAnsi="Times New Roman" w:eastAsia="宋体" w:cs="Times New Roman"/>
                <w:szCs w:val="21"/>
              </w:rPr>
            </w:pPr>
            <w:r>
              <w:rPr>
                <w:rFonts w:ascii="Times New Roman" w:hAnsi="Times New Roman" w:eastAsia="宋体" w:cs="Times New Roman"/>
                <w:szCs w:val="21"/>
              </w:rPr>
              <w:t>中原绿色庄园</w:t>
            </w:r>
          </w:p>
          <w:p>
            <w:pPr>
              <w:snapToGrid w:val="0"/>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（国家4A级景区）</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-348</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1798</w:t>
            </w:r>
          </w:p>
        </w:tc>
        <w:tc>
          <w:tcPr>
            <w:tcW w:w="190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2" w:type="dxa"/>
            <w:vAlign w:val="center"/>
          </w:tcPr>
          <w:p>
            <w:pPr>
              <w:adjustRightInd w:val="0"/>
              <w:snapToGrid w:val="0"/>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18</w:t>
            </w:r>
          </w:p>
        </w:tc>
        <w:tc>
          <w:tcPr>
            <w:tcW w:w="2627" w:type="dxa"/>
            <w:vAlign w:val="center"/>
          </w:tcPr>
          <w:p>
            <w:pPr>
              <w:snapToGrid w:val="0"/>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濮上园</w:t>
            </w:r>
          </w:p>
          <w:p>
            <w:pPr>
              <w:snapToGrid w:val="0"/>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（国家4A级景区）</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-1582</w:t>
            </w:r>
          </w:p>
        </w:tc>
        <w:tc>
          <w:tcPr>
            <w:tcW w:w="147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2153</w:t>
            </w:r>
          </w:p>
        </w:tc>
        <w:tc>
          <w:tcPr>
            <w:tcW w:w="190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55.1</w:t>
            </w:r>
          </w:p>
        </w:tc>
      </w:tr>
    </w:tbl>
    <w:p>
      <w:pPr>
        <w:spacing w:line="48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②</w:t>
      </w:r>
      <w:r>
        <w:rPr>
          <w:rFonts w:ascii="Times New Roman" w:hAnsi="Times New Roman" w:eastAsia="宋体" w:cs="Times New Roman"/>
          <w:kern w:val="0"/>
          <w:sz w:val="24"/>
          <w:szCs w:val="24"/>
        </w:rPr>
        <w:t>预测网格点设置</w:t>
      </w:r>
    </w:p>
    <w:p>
      <w:pPr>
        <w:spacing w:line="48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按照《环境空气评价技术导则大气环境》（HJ2.2-2008）中对预测网格点和区域最大地面浓度点的预测网格的设置要求，本次评价采用直角坐标网络，网格间距为：≥1000m网格间距为200m，≤1000m网格间距为100m。</w:t>
      </w:r>
    </w:p>
    <w:p>
      <w:pPr>
        <w:pStyle w:val="40"/>
        <w:rPr>
          <w:snapToGrid w:val="0"/>
          <w:color w:val="auto"/>
        </w:rPr>
      </w:pPr>
      <w:bookmarkStart w:id="60" w:name="_Toc8391559"/>
      <w:r>
        <w:rPr>
          <w:rFonts w:hint="eastAsia"/>
          <w:snapToGrid w:val="0"/>
          <w:color w:val="auto"/>
        </w:rPr>
        <w:t>4</w:t>
      </w:r>
      <w:r>
        <w:rPr>
          <w:snapToGrid w:val="0"/>
          <w:color w:val="auto"/>
        </w:rPr>
        <w:t>.1.7</w:t>
      </w:r>
      <w:r>
        <w:rPr>
          <w:rFonts w:hint="eastAsia"/>
          <w:snapToGrid w:val="0"/>
          <w:color w:val="auto"/>
        </w:rPr>
        <w:t>预测内容</w:t>
      </w:r>
      <w:bookmarkEnd w:id="60"/>
    </w:p>
    <w:p>
      <w:pPr>
        <w:spacing w:line="480" w:lineRule="exact"/>
        <w:ind w:firstLine="480" w:firstLineChars="200"/>
        <w:rPr>
          <w:rFonts w:ascii="Times New Roman" w:hAnsi="宋体" w:eastAsia="宋体" w:cs="Times New Roman"/>
          <w:bCs/>
          <w:sz w:val="24"/>
          <w:szCs w:val="24"/>
        </w:rPr>
      </w:pPr>
      <w:r>
        <w:rPr>
          <w:rFonts w:hint="eastAsia" w:ascii="Times New Roman" w:hAnsi="宋体" w:eastAsia="宋体" w:cs="Times New Roman"/>
          <w:bCs/>
          <w:sz w:val="24"/>
          <w:szCs w:val="24"/>
        </w:rPr>
        <w:t>本次</w:t>
      </w:r>
      <w:r>
        <w:rPr>
          <w:rFonts w:ascii="Times New Roman" w:hAnsi="宋体" w:eastAsia="宋体" w:cs="Times New Roman"/>
          <w:bCs/>
          <w:sz w:val="24"/>
          <w:szCs w:val="24"/>
        </w:rPr>
        <w:t>大气环境影响评价考虑正常工况和非正常工况排放工况</w:t>
      </w:r>
      <w:r>
        <w:rPr>
          <w:rFonts w:hint="eastAsia" w:ascii="Times New Roman" w:hAnsi="宋体" w:eastAsia="宋体" w:cs="Times New Roman"/>
          <w:bCs/>
          <w:sz w:val="24"/>
          <w:szCs w:val="24"/>
        </w:rPr>
        <w:t>，</w:t>
      </w:r>
      <w:r>
        <w:rPr>
          <w:rFonts w:ascii="Times New Roman" w:hAnsi="宋体" w:eastAsia="宋体" w:cs="Times New Roman"/>
          <w:bCs/>
          <w:sz w:val="24"/>
          <w:szCs w:val="24"/>
        </w:rPr>
        <w:t>其预测</w:t>
      </w:r>
      <w:r>
        <w:rPr>
          <w:rFonts w:hint="eastAsia" w:ascii="Times New Roman" w:hAnsi="宋体" w:eastAsia="宋体" w:cs="Times New Roman"/>
          <w:bCs/>
          <w:sz w:val="24"/>
          <w:szCs w:val="24"/>
        </w:rPr>
        <w:t>内容</w:t>
      </w:r>
      <w:r>
        <w:rPr>
          <w:rFonts w:ascii="Times New Roman" w:hAnsi="宋体" w:eastAsia="宋体" w:cs="Times New Roman"/>
          <w:bCs/>
          <w:sz w:val="24"/>
          <w:szCs w:val="24"/>
        </w:rPr>
        <w:t>组合详见表4.1-5</w:t>
      </w:r>
      <w:r>
        <w:rPr>
          <w:rFonts w:hint="eastAsia" w:ascii="Times New Roman" w:hAnsi="宋体" w:eastAsia="宋体" w:cs="Times New Roman"/>
          <w:bCs/>
          <w:sz w:val="24"/>
          <w:szCs w:val="24"/>
        </w:rPr>
        <w:t>。</w:t>
      </w:r>
    </w:p>
    <w:p>
      <w:pPr>
        <w:spacing w:line="480" w:lineRule="exact"/>
        <w:ind w:firstLine="480" w:firstLineChars="200"/>
        <w:rPr>
          <w:rFonts w:ascii="Times New Roman" w:hAnsi="Times New Roman" w:eastAsia="黑体" w:cs="Times New Roman"/>
          <w:sz w:val="24"/>
        </w:rPr>
      </w:pPr>
      <w:r>
        <w:rPr>
          <w:rFonts w:hint="eastAsia" w:ascii="Times New Roman" w:hAnsi="Times New Roman" w:eastAsia="黑体" w:cs="Times New Roman"/>
          <w:sz w:val="24"/>
        </w:rPr>
        <w:t>表</w:t>
      </w:r>
      <w:r>
        <w:rPr>
          <w:rFonts w:ascii="Times New Roman" w:hAnsi="Times New Roman" w:eastAsia="黑体" w:cs="Times New Roman"/>
          <w:sz w:val="24"/>
        </w:rPr>
        <w:t>4.1-5</w:t>
      </w:r>
      <w:r>
        <w:rPr>
          <w:rFonts w:hint="eastAsia" w:ascii="Times New Roman" w:hAnsi="Times New Roman" w:eastAsia="黑体" w:cs="Times New Roman"/>
          <w:sz w:val="24"/>
        </w:rPr>
        <w:t xml:space="preserve">       </w:t>
      </w:r>
      <w:r>
        <w:rPr>
          <w:rFonts w:ascii="Times New Roman" w:hAnsi="Times New Roman" w:eastAsia="黑体" w:cs="Times New Roman"/>
          <w:sz w:val="24"/>
        </w:rPr>
        <w:t xml:space="preserve">    </w:t>
      </w:r>
      <w:r>
        <w:rPr>
          <w:rFonts w:hint="eastAsia" w:ascii="Times New Roman" w:hAnsi="Times New Roman" w:eastAsia="黑体" w:cs="Times New Roman"/>
          <w:sz w:val="24"/>
        </w:rPr>
        <w:t xml:space="preserve">   预测内容及评价要求</w:t>
      </w:r>
    </w:p>
    <w:tbl>
      <w:tblPr>
        <w:tblStyle w:val="1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593"/>
        <w:gridCol w:w="1593"/>
        <w:gridCol w:w="2188"/>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80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59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kern w:val="0"/>
                <w:szCs w:val="21"/>
              </w:rPr>
              <w:t>污染源</w:t>
            </w:r>
          </w:p>
        </w:tc>
        <w:tc>
          <w:tcPr>
            <w:tcW w:w="1593"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排放方式</w:t>
            </w:r>
          </w:p>
        </w:tc>
        <w:tc>
          <w:tcPr>
            <w:tcW w:w="2188"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预测内容</w:t>
            </w:r>
          </w:p>
        </w:tc>
        <w:tc>
          <w:tcPr>
            <w:tcW w:w="212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80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1593" w:type="dxa"/>
            <w:vAlign w:val="center"/>
          </w:tcPr>
          <w:p>
            <w:pPr>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新增污染源</w:t>
            </w:r>
          </w:p>
        </w:tc>
        <w:tc>
          <w:tcPr>
            <w:tcW w:w="159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kern w:val="0"/>
                <w:szCs w:val="21"/>
              </w:rPr>
              <w:t>正常排放</w:t>
            </w:r>
          </w:p>
        </w:tc>
        <w:tc>
          <w:tcPr>
            <w:tcW w:w="2188" w:type="dxa"/>
            <w:vAlign w:val="center"/>
          </w:tcPr>
          <w:p>
            <w:pPr>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短期浓度</w:t>
            </w:r>
          </w:p>
          <w:p>
            <w:pPr>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长期浓度</w:t>
            </w:r>
          </w:p>
        </w:tc>
        <w:tc>
          <w:tcPr>
            <w:tcW w:w="212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最大浓度占标率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00"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1593" w:type="dxa"/>
            <w:vAlign w:val="center"/>
          </w:tcPr>
          <w:p>
            <w:pPr>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新增污染源</w:t>
            </w:r>
          </w:p>
        </w:tc>
        <w:tc>
          <w:tcPr>
            <w:tcW w:w="159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kern w:val="0"/>
                <w:szCs w:val="21"/>
              </w:rPr>
              <w:t>非正常排放</w:t>
            </w:r>
          </w:p>
        </w:tc>
        <w:tc>
          <w:tcPr>
            <w:tcW w:w="2188" w:type="dxa"/>
            <w:vAlign w:val="center"/>
          </w:tcPr>
          <w:p>
            <w:pPr>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1h平均质量浓度</w:t>
            </w:r>
          </w:p>
        </w:tc>
        <w:tc>
          <w:tcPr>
            <w:tcW w:w="212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最大浓度占标率</w:t>
            </w:r>
          </w:p>
        </w:tc>
      </w:tr>
    </w:tbl>
    <w:p>
      <w:pPr>
        <w:pStyle w:val="40"/>
        <w:rPr>
          <w:snapToGrid w:val="0"/>
          <w:color w:val="auto"/>
        </w:rPr>
      </w:pPr>
      <w:bookmarkStart w:id="61" w:name="_Toc8391560"/>
      <w:r>
        <w:rPr>
          <w:rFonts w:hint="eastAsia"/>
          <w:snapToGrid w:val="0"/>
          <w:color w:val="auto"/>
        </w:rPr>
        <w:t>4</w:t>
      </w:r>
      <w:r>
        <w:rPr>
          <w:snapToGrid w:val="0"/>
          <w:color w:val="auto"/>
        </w:rPr>
        <w:t>.1.8</w:t>
      </w:r>
      <w:r>
        <w:rPr>
          <w:rFonts w:hint="eastAsia"/>
          <w:snapToGrid w:val="0"/>
          <w:color w:val="auto"/>
        </w:rPr>
        <w:t>预测结果及分析</w:t>
      </w:r>
      <w:bookmarkEnd w:id="61"/>
    </w:p>
    <w:p>
      <w:pPr>
        <w:pStyle w:val="33"/>
        <w:rPr>
          <w:color w:val="auto"/>
        </w:rPr>
      </w:pPr>
      <w:r>
        <w:rPr>
          <w:rFonts w:hint="eastAsia"/>
          <w:color w:val="auto"/>
        </w:rPr>
        <w:t>4.1.8.1正常排放各污染物</w:t>
      </w:r>
      <w:r>
        <w:rPr>
          <w:color w:val="auto"/>
        </w:rPr>
        <w:t>浓度预测</w:t>
      </w:r>
    </w:p>
    <w:p>
      <w:pPr>
        <w:spacing w:line="480" w:lineRule="exact"/>
        <w:ind w:firstLine="480" w:firstLineChars="200"/>
        <w:rPr>
          <w:rFonts w:ascii="Times New Roman" w:hAnsi="Times New Roman" w:eastAsia="宋体"/>
          <w:kern w:val="0"/>
          <w:sz w:val="24"/>
          <w:szCs w:val="24"/>
        </w:rPr>
      </w:pPr>
      <w:r>
        <w:rPr>
          <w:rFonts w:ascii="Times New Roman" w:hAnsi="Times New Roman" w:eastAsia="宋体"/>
          <w:kern w:val="0"/>
          <w:sz w:val="24"/>
          <w:szCs w:val="24"/>
        </w:rPr>
        <w:t>（1）</w:t>
      </w:r>
      <w:r>
        <w:rPr>
          <w:rFonts w:hint="eastAsia" w:ascii="Times New Roman" w:hAnsi="Times New Roman" w:eastAsia="宋体"/>
          <w:kern w:val="0"/>
          <w:sz w:val="24"/>
          <w:szCs w:val="24"/>
        </w:rPr>
        <w:t>S</w:t>
      </w:r>
      <w:r>
        <w:rPr>
          <w:rFonts w:ascii="Times New Roman" w:hAnsi="Times New Roman" w:eastAsia="宋体"/>
          <w:kern w:val="0"/>
          <w:sz w:val="24"/>
          <w:szCs w:val="24"/>
        </w:rPr>
        <w:t>O</w:t>
      </w:r>
      <w:r>
        <w:rPr>
          <w:rFonts w:ascii="Times New Roman" w:hAnsi="Times New Roman" w:eastAsia="宋体"/>
          <w:kern w:val="0"/>
          <w:sz w:val="24"/>
          <w:szCs w:val="24"/>
          <w:vertAlign w:val="subscript"/>
        </w:rPr>
        <w:t>2</w:t>
      </w:r>
      <w:r>
        <w:rPr>
          <w:rFonts w:hint="eastAsia" w:ascii="Times New Roman" w:hAnsi="Times New Roman" w:eastAsia="宋体"/>
          <w:kern w:val="0"/>
          <w:sz w:val="24"/>
          <w:szCs w:val="24"/>
        </w:rPr>
        <w:t>预测结果及评价</w:t>
      </w:r>
    </w:p>
    <w:p>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本项目S</w:t>
      </w:r>
      <w:r>
        <w:rPr>
          <w:rFonts w:ascii="Times New Roman" w:hAnsi="Times New Roman" w:eastAsia="宋体"/>
          <w:kern w:val="0"/>
          <w:sz w:val="24"/>
          <w:szCs w:val="24"/>
        </w:rPr>
        <w:t>O</w:t>
      </w:r>
      <w:r>
        <w:rPr>
          <w:rFonts w:ascii="Times New Roman" w:hAnsi="Times New Roman" w:eastAsia="宋体"/>
          <w:kern w:val="0"/>
          <w:sz w:val="24"/>
          <w:szCs w:val="24"/>
          <w:vertAlign w:val="subscript"/>
        </w:rPr>
        <w:t>2</w:t>
      </w:r>
      <w:r>
        <w:rPr>
          <w:rFonts w:hint="eastAsia" w:ascii="Times New Roman" w:hAnsi="Times New Roman" w:eastAsia="宋体"/>
          <w:kern w:val="0"/>
          <w:sz w:val="24"/>
          <w:szCs w:val="24"/>
        </w:rPr>
        <w:t>预测结果见下表。</w:t>
      </w:r>
    </w:p>
    <w:p>
      <w:pPr>
        <w:spacing w:line="48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表</w:t>
      </w:r>
      <w:r>
        <w:rPr>
          <w:rFonts w:ascii="Times New Roman" w:hAnsi="Times New Roman" w:eastAsia="黑体" w:cs="Times New Roman"/>
          <w:sz w:val="24"/>
          <w:szCs w:val="24"/>
        </w:rPr>
        <w:t>4.1-6</w:t>
      </w:r>
      <w:r>
        <w:rPr>
          <w:rFonts w:hint="eastAsia" w:ascii="Times New Roman" w:hAnsi="Times New Roman" w:eastAsia="黑体" w:cs="Times New Roman"/>
          <w:sz w:val="24"/>
          <w:szCs w:val="24"/>
        </w:rPr>
        <w:t xml:space="preserve">           本项目</w:t>
      </w:r>
      <w:r>
        <w:rPr>
          <w:rFonts w:ascii="Times New Roman" w:hAnsi="Times New Roman" w:eastAsia="黑体" w:cs="Times New Roman"/>
          <w:sz w:val="24"/>
          <w:szCs w:val="24"/>
        </w:rPr>
        <w:t>SO</w:t>
      </w:r>
      <w:r>
        <w:rPr>
          <w:rFonts w:ascii="Times New Roman" w:hAnsi="Times New Roman" w:eastAsia="黑体" w:cs="Times New Roman"/>
          <w:sz w:val="24"/>
          <w:szCs w:val="24"/>
          <w:vertAlign w:val="subscript"/>
        </w:rPr>
        <w:t>2</w:t>
      </w:r>
      <w:r>
        <w:rPr>
          <w:rFonts w:hint="eastAsia" w:ascii="Times New Roman" w:hAnsi="Times New Roman" w:eastAsia="黑体" w:cs="Times New Roman"/>
          <w:sz w:val="24"/>
          <w:szCs w:val="24"/>
        </w:rPr>
        <w:t>因子</w:t>
      </w:r>
      <w:r>
        <w:rPr>
          <w:rFonts w:ascii="Times New Roman" w:hAnsi="Times New Roman" w:eastAsia="黑体" w:cs="Times New Roman"/>
          <w:sz w:val="24"/>
          <w:szCs w:val="24"/>
        </w:rPr>
        <w:t>预测结果一览表</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220"/>
        <w:gridCol w:w="956"/>
        <w:gridCol w:w="1057"/>
        <w:gridCol w:w="1804"/>
        <w:gridCol w:w="1312"/>
        <w:gridCol w:w="914"/>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序号</w:t>
            </w:r>
          </w:p>
        </w:tc>
        <w:tc>
          <w:tcPr>
            <w:tcW w:w="1220"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点名称</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浓度类型</w:t>
            </w:r>
          </w:p>
        </w:tc>
        <w:tc>
          <w:tcPr>
            <w:tcW w:w="1057"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贡献浓度（</w:t>
            </w:r>
            <w:r>
              <w:rPr>
                <w:rFonts w:ascii="Times New Roman" w:hAnsi="Times New Roman" w:eastAsia="宋体" w:cs="Times New Roman"/>
                <w:sz w:val="18"/>
                <w:szCs w:val="18"/>
              </w:rPr>
              <w:t>μ</w:t>
            </w:r>
            <w:r>
              <w:rPr>
                <w:rFonts w:ascii="Times New Roman" w:hAnsi="Times New Roman" w:eastAsia="宋体" w:cs="Times New Roman"/>
                <w:kern w:val="0"/>
                <w:sz w:val="18"/>
                <w:szCs w:val="18"/>
              </w:rPr>
              <w:t>g/m</w:t>
            </w:r>
            <w:r>
              <w:rPr>
                <w:rFonts w:ascii="Times New Roman" w:hAnsi="Times New Roman" w:eastAsia="宋体" w:cs="Times New Roman"/>
                <w:kern w:val="0"/>
                <w:sz w:val="18"/>
                <w:szCs w:val="18"/>
                <w:vertAlign w:val="superscript"/>
              </w:rPr>
              <w:t>3</w:t>
            </w:r>
            <w:r>
              <w:rPr>
                <w:rFonts w:ascii="Times New Roman" w:hAnsi="Times New Roman" w:eastAsia="宋体" w:cs="Times New Roman"/>
                <w:kern w:val="0"/>
                <w:sz w:val="18"/>
                <w:szCs w:val="18"/>
              </w:rPr>
              <w:t>）</w:t>
            </w:r>
          </w:p>
        </w:tc>
        <w:tc>
          <w:tcPr>
            <w:tcW w:w="1804"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出现时间（YMMDDHH）</w:t>
            </w:r>
          </w:p>
        </w:tc>
        <w:tc>
          <w:tcPr>
            <w:tcW w:w="1312"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评价标准（</w:t>
            </w:r>
            <w:r>
              <w:rPr>
                <w:rFonts w:ascii="Times New Roman" w:hAnsi="Times New Roman" w:eastAsia="宋体" w:cs="Times New Roman"/>
                <w:sz w:val="18"/>
                <w:szCs w:val="18"/>
              </w:rPr>
              <w:t>μ</w:t>
            </w:r>
            <w:r>
              <w:rPr>
                <w:rFonts w:ascii="Times New Roman" w:hAnsi="Times New Roman" w:eastAsia="宋体" w:cs="Times New Roman"/>
                <w:kern w:val="0"/>
                <w:sz w:val="18"/>
                <w:szCs w:val="18"/>
              </w:rPr>
              <w:t>g/m</w:t>
            </w:r>
            <w:r>
              <w:rPr>
                <w:rFonts w:ascii="Times New Roman" w:hAnsi="Times New Roman" w:eastAsia="宋体" w:cs="Times New Roman"/>
                <w:kern w:val="0"/>
                <w:sz w:val="18"/>
                <w:szCs w:val="18"/>
                <w:vertAlign w:val="superscript"/>
              </w:rPr>
              <w:t>3</w:t>
            </w:r>
            <w:r>
              <w:rPr>
                <w:rFonts w:ascii="Times New Roman" w:hAnsi="Times New Roman" w:eastAsia="宋体" w:cs="Times New Roman"/>
                <w:kern w:val="0"/>
                <w:sz w:val="18"/>
                <w:szCs w:val="18"/>
              </w:rPr>
              <w:t>）</w:t>
            </w:r>
          </w:p>
        </w:tc>
        <w:tc>
          <w:tcPr>
            <w:tcW w:w="914"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占标率（%）</w:t>
            </w:r>
          </w:p>
        </w:tc>
        <w:tc>
          <w:tcPr>
            <w:tcW w:w="582"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谷家庄村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0.654</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16051907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0.13</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0.066</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160317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0.04</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0.008</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胡乜村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0.611</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16052407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0.12</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0.031</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160522</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0.001</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康呼村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1.150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16012710</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0.23</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0.088</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161212</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0.06</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0.008</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濮阳职业技术学院</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0.920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16011911</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0.18</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0.067</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161210</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0.04</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0.003</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后漳消村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0.867</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16071707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0.17</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0.045</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160717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0.03</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0.002</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后黄甫村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0.598</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16101608</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0.12</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0.036</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160108</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0.001</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前漳消村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0.542</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16020510</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0.075</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160612</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0.05</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0.004</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韩庄村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0.307</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16111020</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0.06</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0.013</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161110</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油坊村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0.839</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16050507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0.17</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0.084</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161211</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0.06</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0.004</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张康呼</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0.933</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16012710</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0.19</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0.103</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161211</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0.07</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0.006</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刘康呼</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0.749</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16070807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0.15</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0.119</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161121</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0.08</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0.011</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蔡王合村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0.414</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16083107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0.08</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0.022</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160831</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0.001</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前皇甫村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0.612</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16012711</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0.12</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0.054</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160127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0.04</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0.001</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吕家庄村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0.647</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16051907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0.13</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0.056</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161103</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0.04</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0.006</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杜家庄</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0.741</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16051907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0.15</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0.044</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161103</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0.03</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0.004</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w:t>
            </w:r>
          </w:p>
        </w:tc>
        <w:tc>
          <w:tcPr>
            <w:tcW w:w="1220" w:type="dxa"/>
            <w:vMerge w:val="restar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濮阳世锦园</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1.220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16052007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0.24</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0.103</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161113</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0.07</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0.013</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w:t>
            </w:r>
          </w:p>
        </w:tc>
        <w:tc>
          <w:tcPr>
            <w:tcW w:w="1220" w:type="dxa"/>
            <w:vMerge w:val="restar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中原绿色庄园</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1.220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16032708</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0.24</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0.089</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160405</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0.06</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0.012</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w:t>
            </w:r>
          </w:p>
        </w:tc>
        <w:tc>
          <w:tcPr>
            <w:tcW w:w="1220" w:type="dxa"/>
            <w:vMerge w:val="restar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濮上园</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0.821</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16052007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0.16</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0.048</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160520</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0.03</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0.004</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w:t>
            </w:r>
          </w:p>
        </w:tc>
        <w:tc>
          <w:tcPr>
            <w:tcW w:w="1220"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网格（-100,200）</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2.470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16042708</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0.49</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网格（0,200）</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0.556</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160627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0.37</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网格（-100,-400）</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0.084</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0.14</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bl>
    <w:p>
      <w:pPr>
        <w:spacing w:line="480" w:lineRule="exact"/>
        <w:ind w:firstLine="480" w:firstLineChars="200"/>
        <w:rPr>
          <w:rFonts w:ascii="Times New Roman" w:hAnsi="Times New Roman" w:eastAsia="宋体"/>
          <w:kern w:val="0"/>
          <w:sz w:val="24"/>
          <w:szCs w:val="24"/>
        </w:rPr>
      </w:pPr>
      <w:r>
        <w:rPr>
          <w:rFonts w:ascii="Times New Roman" w:hAnsi="Times New Roman" w:eastAsia="宋体"/>
          <w:kern w:val="0"/>
          <w:sz w:val="24"/>
          <w:szCs w:val="24"/>
        </w:rPr>
        <w:t>由上表可以看出，评价区域内</w:t>
      </w:r>
      <w:r>
        <w:rPr>
          <w:rFonts w:hint="eastAsia" w:ascii="Times New Roman" w:hAnsi="Times New Roman" w:eastAsia="宋体"/>
          <w:kern w:val="0"/>
          <w:sz w:val="24"/>
          <w:szCs w:val="24"/>
        </w:rPr>
        <w:t>环境敏感点的</w:t>
      </w:r>
      <w:r>
        <w:rPr>
          <w:rFonts w:ascii="Times New Roman" w:hAnsi="Times New Roman" w:eastAsia="宋体"/>
          <w:kern w:val="0"/>
          <w:sz w:val="24"/>
          <w:szCs w:val="24"/>
        </w:rPr>
        <w:t>SO</w:t>
      </w:r>
      <w:r>
        <w:rPr>
          <w:rFonts w:ascii="Times New Roman" w:hAnsi="Times New Roman" w:eastAsia="宋体"/>
          <w:kern w:val="0"/>
          <w:sz w:val="24"/>
          <w:szCs w:val="24"/>
          <w:vertAlign w:val="subscript"/>
        </w:rPr>
        <w:t>2</w:t>
      </w:r>
      <w:r>
        <w:rPr>
          <w:rFonts w:ascii="Times New Roman" w:hAnsi="Times New Roman" w:eastAsia="宋体"/>
          <w:kern w:val="0"/>
          <w:sz w:val="24"/>
          <w:szCs w:val="24"/>
        </w:rPr>
        <w:t>预测结果均未超过环境质量标准限值，网格点预测结果均未超标，不会对周边环境产生影响。其中，各关心点SO</w:t>
      </w:r>
      <w:r>
        <w:rPr>
          <w:rFonts w:ascii="Times New Roman" w:hAnsi="Times New Roman" w:eastAsia="宋体"/>
          <w:kern w:val="0"/>
          <w:sz w:val="24"/>
          <w:szCs w:val="24"/>
          <w:vertAlign w:val="subscript"/>
        </w:rPr>
        <w:t>2</w:t>
      </w:r>
      <w:r>
        <w:rPr>
          <w:rFonts w:ascii="Times New Roman" w:hAnsi="Times New Roman" w:eastAsia="宋体"/>
          <w:kern w:val="0"/>
          <w:sz w:val="24"/>
          <w:szCs w:val="24"/>
        </w:rPr>
        <w:t>1小时</w:t>
      </w:r>
      <w:r>
        <w:rPr>
          <w:rFonts w:hint="eastAsia" w:ascii="Times New Roman" w:hAnsi="Times New Roman" w:eastAsia="宋体"/>
          <w:kern w:val="0"/>
          <w:sz w:val="24"/>
          <w:szCs w:val="24"/>
        </w:rPr>
        <w:t>浓度</w:t>
      </w:r>
      <w:r>
        <w:rPr>
          <w:rFonts w:ascii="Times New Roman" w:hAnsi="Times New Roman" w:eastAsia="宋体"/>
          <w:kern w:val="0"/>
          <w:sz w:val="24"/>
          <w:szCs w:val="24"/>
        </w:rPr>
        <w:t>的最大占标率为0.24%，出现在濮阳世锦园</w:t>
      </w:r>
      <w:r>
        <w:rPr>
          <w:rFonts w:hint="eastAsia" w:ascii="Times New Roman" w:hAnsi="Times New Roman" w:eastAsia="宋体"/>
          <w:kern w:val="0"/>
          <w:sz w:val="24"/>
          <w:szCs w:val="24"/>
        </w:rPr>
        <w:t>和</w:t>
      </w:r>
      <w:r>
        <w:rPr>
          <w:rFonts w:ascii="Times New Roman" w:hAnsi="Times New Roman" w:eastAsia="宋体"/>
          <w:kern w:val="0"/>
          <w:sz w:val="24"/>
          <w:szCs w:val="24"/>
        </w:rPr>
        <w:t>中原绿色庄园，日平均</w:t>
      </w:r>
      <w:r>
        <w:rPr>
          <w:rFonts w:hint="eastAsia" w:ascii="Times New Roman" w:hAnsi="Times New Roman" w:eastAsia="宋体"/>
          <w:kern w:val="0"/>
          <w:sz w:val="24"/>
          <w:szCs w:val="24"/>
        </w:rPr>
        <w:t>浓度</w:t>
      </w:r>
      <w:r>
        <w:rPr>
          <w:rFonts w:ascii="Times New Roman" w:hAnsi="Times New Roman" w:eastAsia="宋体"/>
          <w:kern w:val="0"/>
          <w:sz w:val="24"/>
          <w:szCs w:val="24"/>
        </w:rPr>
        <w:t>的最大占标率为0.08%，出现在</w:t>
      </w:r>
      <w:r>
        <w:rPr>
          <w:rFonts w:hint="eastAsia" w:ascii="Times New Roman" w:hAnsi="Times New Roman" w:eastAsia="宋体"/>
          <w:kern w:val="0"/>
          <w:sz w:val="24"/>
          <w:szCs w:val="24"/>
        </w:rPr>
        <w:t>刘康呼</w:t>
      </w:r>
      <w:r>
        <w:rPr>
          <w:rFonts w:ascii="Times New Roman" w:hAnsi="Times New Roman" w:eastAsia="宋体"/>
          <w:kern w:val="0"/>
          <w:sz w:val="24"/>
          <w:szCs w:val="24"/>
        </w:rPr>
        <w:t>。</w:t>
      </w:r>
      <w:r>
        <w:rPr>
          <w:rFonts w:hint="eastAsia" w:ascii="Times New Roman" w:hAnsi="Times New Roman" w:eastAsia="宋体"/>
          <w:kern w:val="0"/>
          <w:sz w:val="24"/>
          <w:szCs w:val="24"/>
        </w:rPr>
        <w:t>年平均浓度</w:t>
      </w:r>
      <w:r>
        <w:rPr>
          <w:rFonts w:ascii="Times New Roman" w:hAnsi="Times New Roman" w:eastAsia="宋体"/>
          <w:kern w:val="0"/>
          <w:sz w:val="24"/>
          <w:szCs w:val="24"/>
        </w:rPr>
        <w:t>的最大占标率为0.02%，出现在</w:t>
      </w:r>
      <w:r>
        <w:rPr>
          <w:rFonts w:hint="eastAsia" w:ascii="Times New Roman" w:hAnsi="Times New Roman" w:eastAsia="宋体"/>
          <w:kern w:val="0"/>
          <w:sz w:val="24"/>
          <w:szCs w:val="24"/>
        </w:rPr>
        <w:t>刘康呼、</w:t>
      </w:r>
      <w:r>
        <w:rPr>
          <w:rFonts w:ascii="Times New Roman" w:hAnsi="Times New Roman" w:eastAsia="宋体"/>
          <w:kern w:val="0"/>
          <w:sz w:val="24"/>
          <w:szCs w:val="24"/>
        </w:rPr>
        <w:t>濮阳世锦园</w:t>
      </w:r>
      <w:r>
        <w:rPr>
          <w:rFonts w:hint="eastAsia" w:ascii="Times New Roman" w:hAnsi="Times New Roman" w:eastAsia="宋体"/>
          <w:kern w:val="0"/>
          <w:sz w:val="24"/>
          <w:szCs w:val="24"/>
        </w:rPr>
        <w:t>和</w:t>
      </w:r>
      <w:r>
        <w:rPr>
          <w:rFonts w:ascii="Times New Roman" w:hAnsi="Times New Roman" w:eastAsia="宋体"/>
          <w:kern w:val="0"/>
          <w:sz w:val="24"/>
          <w:szCs w:val="24"/>
        </w:rPr>
        <w:t>中原绿色庄园</w:t>
      </w:r>
      <w:r>
        <w:rPr>
          <w:rFonts w:hint="eastAsia" w:ascii="Times New Roman" w:hAnsi="Times New Roman" w:eastAsia="宋体"/>
          <w:kern w:val="0"/>
          <w:sz w:val="24"/>
          <w:szCs w:val="24"/>
        </w:rPr>
        <w:t>。</w:t>
      </w:r>
    </w:p>
    <w:p>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（2</w:t>
      </w:r>
      <w:r>
        <w:rPr>
          <w:rFonts w:ascii="Times New Roman" w:hAnsi="Times New Roman" w:eastAsia="宋体"/>
          <w:kern w:val="0"/>
          <w:sz w:val="24"/>
          <w:szCs w:val="24"/>
        </w:rPr>
        <w:t>）NO</w:t>
      </w:r>
      <w:r>
        <w:rPr>
          <w:rFonts w:ascii="Times New Roman" w:hAnsi="Times New Roman" w:eastAsia="宋体"/>
          <w:kern w:val="0"/>
          <w:sz w:val="24"/>
          <w:szCs w:val="24"/>
          <w:vertAlign w:val="subscript"/>
        </w:rPr>
        <w:t>X</w:t>
      </w:r>
      <w:r>
        <w:rPr>
          <w:rFonts w:hint="eastAsia" w:ascii="Times New Roman" w:hAnsi="Times New Roman" w:eastAsia="宋体"/>
          <w:kern w:val="0"/>
          <w:sz w:val="24"/>
          <w:szCs w:val="24"/>
        </w:rPr>
        <w:t>预测结果及评价</w:t>
      </w:r>
    </w:p>
    <w:p>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本项目</w:t>
      </w:r>
      <w:r>
        <w:rPr>
          <w:rFonts w:ascii="Times New Roman" w:hAnsi="Times New Roman" w:eastAsia="宋体"/>
          <w:kern w:val="0"/>
          <w:sz w:val="24"/>
          <w:szCs w:val="24"/>
        </w:rPr>
        <w:t>NO</w:t>
      </w:r>
      <w:r>
        <w:rPr>
          <w:rFonts w:ascii="Times New Roman" w:hAnsi="Times New Roman" w:eastAsia="宋体"/>
          <w:kern w:val="0"/>
          <w:sz w:val="24"/>
          <w:szCs w:val="24"/>
          <w:vertAlign w:val="subscript"/>
        </w:rPr>
        <w:t>X</w:t>
      </w:r>
      <w:r>
        <w:rPr>
          <w:rFonts w:hint="eastAsia" w:ascii="Times New Roman" w:hAnsi="Times New Roman" w:eastAsia="宋体"/>
          <w:kern w:val="0"/>
          <w:sz w:val="24"/>
          <w:szCs w:val="24"/>
        </w:rPr>
        <w:t>预测结果见下表。</w:t>
      </w:r>
    </w:p>
    <w:p>
      <w:pPr>
        <w:spacing w:line="48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表</w:t>
      </w:r>
      <w:r>
        <w:rPr>
          <w:rFonts w:ascii="Times New Roman" w:hAnsi="Times New Roman" w:eastAsia="黑体" w:cs="Times New Roman"/>
          <w:sz w:val="24"/>
          <w:szCs w:val="24"/>
        </w:rPr>
        <w:t>4.1-7</w:t>
      </w:r>
      <w:r>
        <w:rPr>
          <w:rFonts w:hint="eastAsia" w:ascii="Times New Roman" w:hAnsi="Times New Roman" w:eastAsia="黑体" w:cs="Times New Roman"/>
          <w:sz w:val="24"/>
          <w:szCs w:val="24"/>
        </w:rPr>
        <w:t xml:space="preserve">           本项目</w:t>
      </w:r>
      <w:r>
        <w:rPr>
          <w:rFonts w:ascii="Times New Roman" w:hAnsi="Times New Roman" w:eastAsia="黑体" w:cs="Times New Roman"/>
          <w:sz w:val="24"/>
          <w:szCs w:val="24"/>
        </w:rPr>
        <w:t>NO</w:t>
      </w:r>
      <w:r>
        <w:rPr>
          <w:rFonts w:ascii="Times New Roman" w:hAnsi="Times New Roman" w:eastAsia="黑体" w:cs="Times New Roman"/>
          <w:sz w:val="24"/>
          <w:szCs w:val="24"/>
          <w:vertAlign w:val="subscript"/>
        </w:rPr>
        <w:t>X</w:t>
      </w:r>
      <w:r>
        <w:rPr>
          <w:rFonts w:hint="eastAsia" w:ascii="Times New Roman" w:hAnsi="Times New Roman" w:eastAsia="黑体" w:cs="Times New Roman"/>
          <w:sz w:val="24"/>
          <w:szCs w:val="24"/>
        </w:rPr>
        <w:t>因子</w:t>
      </w:r>
      <w:r>
        <w:rPr>
          <w:rFonts w:ascii="Times New Roman" w:hAnsi="Times New Roman" w:eastAsia="黑体" w:cs="Times New Roman"/>
          <w:sz w:val="24"/>
          <w:szCs w:val="24"/>
        </w:rPr>
        <w:t>预测结果一览表</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220"/>
        <w:gridCol w:w="956"/>
        <w:gridCol w:w="1057"/>
        <w:gridCol w:w="1804"/>
        <w:gridCol w:w="1312"/>
        <w:gridCol w:w="914"/>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序号</w:t>
            </w:r>
          </w:p>
        </w:tc>
        <w:tc>
          <w:tcPr>
            <w:tcW w:w="1220"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点名称</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浓度类型</w:t>
            </w:r>
          </w:p>
        </w:tc>
        <w:tc>
          <w:tcPr>
            <w:tcW w:w="1057"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贡献浓度（</w:t>
            </w:r>
            <w:r>
              <w:rPr>
                <w:rFonts w:ascii="Times New Roman" w:hAnsi="Times New Roman" w:eastAsia="宋体" w:cs="Times New Roman"/>
                <w:sz w:val="18"/>
                <w:szCs w:val="18"/>
              </w:rPr>
              <w:t>μ</w:t>
            </w:r>
            <w:r>
              <w:rPr>
                <w:rFonts w:ascii="Times New Roman" w:hAnsi="Times New Roman" w:eastAsia="宋体" w:cs="Times New Roman"/>
                <w:kern w:val="0"/>
                <w:sz w:val="18"/>
                <w:szCs w:val="18"/>
              </w:rPr>
              <w:t>g/m</w:t>
            </w:r>
            <w:r>
              <w:rPr>
                <w:rFonts w:ascii="Times New Roman" w:hAnsi="Times New Roman" w:eastAsia="宋体" w:cs="Times New Roman"/>
                <w:kern w:val="0"/>
                <w:sz w:val="18"/>
                <w:szCs w:val="18"/>
                <w:vertAlign w:val="superscript"/>
              </w:rPr>
              <w:t>3</w:t>
            </w:r>
            <w:r>
              <w:rPr>
                <w:rFonts w:ascii="Times New Roman" w:hAnsi="Times New Roman" w:eastAsia="宋体" w:cs="Times New Roman"/>
                <w:kern w:val="0"/>
                <w:sz w:val="18"/>
                <w:szCs w:val="18"/>
              </w:rPr>
              <w:t>）</w:t>
            </w:r>
          </w:p>
        </w:tc>
        <w:tc>
          <w:tcPr>
            <w:tcW w:w="1804"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出现时间（YMMDDHH）</w:t>
            </w:r>
          </w:p>
        </w:tc>
        <w:tc>
          <w:tcPr>
            <w:tcW w:w="1312"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评价标准（</w:t>
            </w:r>
            <w:r>
              <w:rPr>
                <w:rFonts w:ascii="Times New Roman" w:hAnsi="Times New Roman" w:eastAsia="宋体" w:cs="Times New Roman"/>
                <w:sz w:val="18"/>
                <w:szCs w:val="18"/>
              </w:rPr>
              <w:t>μ</w:t>
            </w:r>
            <w:r>
              <w:rPr>
                <w:rFonts w:ascii="Times New Roman" w:hAnsi="Times New Roman" w:eastAsia="宋体" w:cs="Times New Roman"/>
                <w:kern w:val="0"/>
                <w:sz w:val="18"/>
                <w:szCs w:val="18"/>
              </w:rPr>
              <w:t>g/m</w:t>
            </w:r>
            <w:r>
              <w:rPr>
                <w:rFonts w:ascii="Times New Roman" w:hAnsi="Times New Roman" w:eastAsia="宋体" w:cs="Times New Roman"/>
                <w:kern w:val="0"/>
                <w:sz w:val="18"/>
                <w:szCs w:val="18"/>
                <w:vertAlign w:val="superscript"/>
              </w:rPr>
              <w:t>3</w:t>
            </w:r>
            <w:r>
              <w:rPr>
                <w:rFonts w:ascii="Times New Roman" w:hAnsi="Times New Roman" w:eastAsia="宋体" w:cs="Times New Roman"/>
                <w:kern w:val="0"/>
                <w:sz w:val="18"/>
                <w:szCs w:val="18"/>
              </w:rPr>
              <w:t>）</w:t>
            </w:r>
          </w:p>
        </w:tc>
        <w:tc>
          <w:tcPr>
            <w:tcW w:w="914"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占标率（%）</w:t>
            </w:r>
          </w:p>
        </w:tc>
        <w:tc>
          <w:tcPr>
            <w:tcW w:w="582"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谷家庄村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1.380</w:t>
            </w:r>
          </w:p>
        </w:tc>
        <w:tc>
          <w:tcPr>
            <w:tcW w:w="1804"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16051907</w:t>
            </w:r>
          </w:p>
        </w:tc>
        <w:tc>
          <w:tcPr>
            <w:tcW w:w="1312"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914"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0.55</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0.129</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160317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0.13</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0.016</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0.03</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胡乜村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1.250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16100208</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0.065</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160522</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0.06</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0.002</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康呼村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2.150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16012710</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0.86</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0.165</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161211</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0.17</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0.017</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0.03</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濮阳职业技术学院</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1.990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16011911</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0.8</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0.142</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161210</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0.14</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0.007</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后漳消村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1.720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16052208</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0.69</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0.089</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160717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0.09</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0.003</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后黄甫村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1.130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16101608</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0.45</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0.077</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160108</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0.08</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0.003</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前漳消村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1.180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16020510</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0.47</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0.141</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160612</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0.14</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0.008</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韩庄村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0.574</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16111020</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0.23</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0.028</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160910</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0.03</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0.001</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油坊村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1.750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16050507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0.7</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0.182</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161211</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0.18</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0.009</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张康呼</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1.830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16012710</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0.73</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0.214</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161211</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0.013</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0.03</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刘康呼</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1.480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16070807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0.59</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0.233</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161121</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0.23</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0.022</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0.04</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蔡王合村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0.895</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16021510</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0.36</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0.043</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160215</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0.04</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0.002</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前皇甫村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1.340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16012711</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0.54</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0.119</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160127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0.12</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0.003</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吕家庄村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1.360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16051907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0.55</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0.112</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161103</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0.013</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0.03</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杜家庄</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1.540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16051907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0.62</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0.100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160617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0.008</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w:t>
            </w:r>
          </w:p>
        </w:tc>
        <w:tc>
          <w:tcPr>
            <w:tcW w:w="1220" w:type="dxa"/>
            <w:vMerge w:val="restar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濮阳世锦园</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2.480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16052007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0.99</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0.198</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161113</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0.026</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0.05</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w:t>
            </w:r>
          </w:p>
        </w:tc>
        <w:tc>
          <w:tcPr>
            <w:tcW w:w="1220" w:type="dxa"/>
            <w:vMerge w:val="restar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中原绿色庄园</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2.500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16032708</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0.187</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160405</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0.19</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0.025</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0.05</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w:t>
            </w:r>
          </w:p>
        </w:tc>
        <w:tc>
          <w:tcPr>
            <w:tcW w:w="1220" w:type="dxa"/>
            <w:vMerge w:val="restar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濮上园</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1.680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16052007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0.67</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0.100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160520</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0.009</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w:t>
            </w:r>
          </w:p>
        </w:tc>
        <w:tc>
          <w:tcPr>
            <w:tcW w:w="1220"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网格（-200,300）</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3.970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16051608</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1.59</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网格（0,300）</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1.000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160627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网格（0,200）</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0.153</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0.31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bl>
    <w:p>
      <w:pPr>
        <w:spacing w:line="480" w:lineRule="exact"/>
        <w:ind w:firstLine="480" w:firstLineChars="200"/>
        <w:rPr>
          <w:rFonts w:ascii="Times New Roman" w:hAnsi="Times New Roman" w:eastAsia="宋体"/>
          <w:kern w:val="0"/>
          <w:sz w:val="24"/>
          <w:szCs w:val="24"/>
        </w:rPr>
      </w:pPr>
      <w:r>
        <w:rPr>
          <w:rFonts w:ascii="Times New Roman" w:hAnsi="Times New Roman" w:eastAsia="宋体"/>
          <w:kern w:val="0"/>
          <w:sz w:val="24"/>
          <w:szCs w:val="24"/>
        </w:rPr>
        <w:t>由上表可以看出，评价区域内</w:t>
      </w:r>
      <w:r>
        <w:rPr>
          <w:rFonts w:hint="eastAsia" w:ascii="Times New Roman" w:hAnsi="Times New Roman" w:eastAsia="宋体"/>
          <w:kern w:val="0"/>
          <w:sz w:val="24"/>
          <w:szCs w:val="24"/>
        </w:rPr>
        <w:t>环境敏感点的</w:t>
      </w:r>
      <w:r>
        <w:rPr>
          <w:rFonts w:ascii="Times New Roman" w:hAnsi="Times New Roman" w:eastAsia="宋体"/>
          <w:kern w:val="0"/>
          <w:sz w:val="24"/>
          <w:szCs w:val="24"/>
        </w:rPr>
        <w:t>NO</w:t>
      </w:r>
      <w:r>
        <w:rPr>
          <w:rFonts w:ascii="Times New Roman" w:hAnsi="Times New Roman" w:eastAsia="宋体"/>
          <w:kern w:val="0"/>
          <w:sz w:val="24"/>
          <w:szCs w:val="24"/>
          <w:vertAlign w:val="subscript"/>
        </w:rPr>
        <w:t>X</w:t>
      </w:r>
      <w:r>
        <w:rPr>
          <w:rFonts w:ascii="Times New Roman" w:hAnsi="Times New Roman" w:eastAsia="宋体"/>
          <w:kern w:val="0"/>
          <w:sz w:val="24"/>
          <w:szCs w:val="24"/>
        </w:rPr>
        <w:t>预测结果均未超过环境质量标准限值，网格点预测结果均未超标，不会对周边环境产生影响。其中，各关心点NO</w:t>
      </w:r>
      <w:r>
        <w:rPr>
          <w:rFonts w:ascii="Times New Roman" w:hAnsi="Times New Roman" w:eastAsia="宋体"/>
          <w:kern w:val="0"/>
          <w:sz w:val="24"/>
          <w:szCs w:val="24"/>
          <w:vertAlign w:val="subscript"/>
        </w:rPr>
        <w:t>X</w:t>
      </w:r>
      <w:r>
        <w:rPr>
          <w:rFonts w:ascii="Times New Roman" w:hAnsi="Times New Roman" w:eastAsia="宋体"/>
          <w:kern w:val="0"/>
          <w:sz w:val="24"/>
          <w:szCs w:val="24"/>
        </w:rPr>
        <w:t>1小时</w:t>
      </w:r>
      <w:r>
        <w:rPr>
          <w:rFonts w:hint="eastAsia" w:ascii="Times New Roman" w:hAnsi="Times New Roman" w:eastAsia="宋体"/>
          <w:kern w:val="0"/>
          <w:sz w:val="24"/>
          <w:szCs w:val="24"/>
        </w:rPr>
        <w:t>浓度</w:t>
      </w:r>
      <w:r>
        <w:rPr>
          <w:rFonts w:ascii="Times New Roman" w:hAnsi="Times New Roman" w:eastAsia="宋体"/>
          <w:kern w:val="0"/>
          <w:sz w:val="24"/>
          <w:szCs w:val="24"/>
        </w:rPr>
        <w:t>的最大占标率为1%，出现在中原绿色庄园，日平均</w:t>
      </w:r>
      <w:r>
        <w:rPr>
          <w:rFonts w:hint="eastAsia" w:ascii="Times New Roman" w:hAnsi="Times New Roman" w:eastAsia="宋体"/>
          <w:kern w:val="0"/>
          <w:sz w:val="24"/>
          <w:szCs w:val="24"/>
        </w:rPr>
        <w:t>浓度</w:t>
      </w:r>
      <w:r>
        <w:rPr>
          <w:rFonts w:ascii="Times New Roman" w:hAnsi="Times New Roman" w:eastAsia="宋体"/>
          <w:kern w:val="0"/>
          <w:sz w:val="24"/>
          <w:szCs w:val="24"/>
        </w:rPr>
        <w:t>的最大占标率为0.23%，出现在</w:t>
      </w:r>
      <w:r>
        <w:rPr>
          <w:rFonts w:hint="eastAsia" w:ascii="Times New Roman" w:hAnsi="Times New Roman" w:eastAsia="宋体"/>
          <w:kern w:val="0"/>
          <w:sz w:val="24"/>
          <w:szCs w:val="24"/>
        </w:rPr>
        <w:t>刘康呼</w:t>
      </w:r>
      <w:r>
        <w:rPr>
          <w:rFonts w:ascii="Times New Roman" w:hAnsi="Times New Roman" w:eastAsia="宋体"/>
          <w:kern w:val="0"/>
          <w:sz w:val="24"/>
          <w:szCs w:val="24"/>
        </w:rPr>
        <w:t>。</w:t>
      </w:r>
      <w:r>
        <w:rPr>
          <w:rFonts w:hint="eastAsia" w:ascii="Times New Roman" w:hAnsi="Times New Roman" w:eastAsia="宋体"/>
          <w:kern w:val="0"/>
          <w:sz w:val="24"/>
          <w:szCs w:val="24"/>
        </w:rPr>
        <w:t>年平均浓度</w:t>
      </w:r>
      <w:r>
        <w:rPr>
          <w:rFonts w:ascii="Times New Roman" w:hAnsi="Times New Roman" w:eastAsia="宋体"/>
          <w:kern w:val="0"/>
          <w:sz w:val="24"/>
          <w:szCs w:val="24"/>
        </w:rPr>
        <w:t>的最大占标率为0.05%，出现在濮阳世锦园</w:t>
      </w:r>
      <w:r>
        <w:rPr>
          <w:rFonts w:hint="eastAsia" w:ascii="Times New Roman" w:hAnsi="Times New Roman" w:eastAsia="宋体"/>
          <w:kern w:val="0"/>
          <w:sz w:val="24"/>
          <w:szCs w:val="24"/>
        </w:rPr>
        <w:t>和</w:t>
      </w:r>
      <w:r>
        <w:rPr>
          <w:rFonts w:ascii="Times New Roman" w:hAnsi="Times New Roman" w:eastAsia="宋体"/>
          <w:kern w:val="0"/>
          <w:sz w:val="24"/>
          <w:szCs w:val="24"/>
        </w:rPr>
        <w:t>中原绿色庄园</w:t>
      </w:r>
      <w:r>
        <w:rPr>
          <w:rFonts w:hint="eastAsia" w:ascii="Times New Roman" w:hAnsi="Times New Roman" w:eastAsia="宋体"/>
          <w:kern w:val="0"/>
          <w:sz w:val="24"/>
          <w:szCs w:val="24"/>
        </w:rPr>
        <w:t>。</w:t>
      </w:r>
    </w:p>
    <w:p>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w:t>
      </w:r>
      <w:r>
        <w:rPr>
          <w:rFonts w:ascii="Times New Roman" w:hAnsi="Times New Roman" w:eastAsia="宋体"/>
          <w:kern w:val="0"/>
          <w:sz w:val="24"/>
          <w:szCs w:val="24"/>
        </w:rPr>
        <w:t>3）PM</w:t>
      </w:r>
      <w:r>
        <w:rPr>
          <w:rFonts w:ascii="Times New Roman" w:hAnsi="Times New Roman" w:eastAsia="宋体"/>
          <w:kern w:val="0"/>
          <w:sz w:val="24"/>
          <w:szCs w:val="24"/>
          <w:vertAlign w:val="subscript"/>
        </w:rPr>
        <w:t>10</w:t>
      </w:r>
      <w:r>
        <w:rPr>
          <w:rFonts w:hint="eastAsia" w:ascii="Times New Roman" w:hAnsi="Times New Roman" w:eastAsia="宋体"/>
          <w:kern w:val="0"/>
          <w:sz w:val="24"/>
          <w:szCs w:val="24"/>
        </w:rPr>
        <w:t>预测结果及评价</w:t>
      </w:r>
    </w:p>
    <w:p>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本项目</w:t>
      </w:r>
      <w:r>
        <w:rPr>
          <w:rFonts w:ascii="Times New Roman" w:hAnsi="Times New Roman" w:eastAsia="宋体"/>
          <w:kern w:val="0"/>
          <w:sz w:val="24"/>
          <w:szCs w:val="24"/>
        </w:rPr>
        <w:t>PM</w:t>
      </w:r>
      <w:r>
        <w:rPr>
          <w:rFonts w:ascii="Times New Roman" w:hAnsi="Times New Roman" w:eastAsia="宋体"/>
          <w:kern w:val="0"/>
          <w:sz w:val="24"/>
          <w:szCs w:val="24"/>
          <w:vertAlign w:val="subscript"/>
        </w:rPr>
        <w:t>10</w:t>
      </w:r>
      <w:r>
        <w:rPr>
          <w:rFonts w:hint="eastAsia" w:ascii="Times New Roman" w:hAnsi="Times New Roman" w:eastAsia="宋体"/>
          <w:kern w:val="0"/>
          <w:sz w:val="24"/>
          <w:szCs w:val="24"/>
        </w:rPr>
        <w:t>预测结果见下表。</w:t>
      </w:r>
    </w:p>
    <w:p>
      <w:pPr>
        <w:spacing w:line="48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表</w:t>
      </w:r>
      <w:r>
        <w:rPr>
          <w:rFonts w:ascii="Times New Roman" w:hAnsi="Times New Roman" w:eastAsia="黑体" w:cs="Times New Roman"/>
          <w:sz w:val="24"/>
          <w:szCs w:val="24"/>
        </w:rPr>
        <w:t>4.1-8</w:t>
      </w:r>
      <w:r>
        <w:rPr>
          <w:rFonts w:hint="eastAsia" w:ascii="Times New Roman" w:hAnsi="Times New Roman" w:eastAsia="黑体" w:cs="Times New Roman"/>
          <w:sz w:val="24"/>
          <w:szCs w:val="24"/>
        </w:rPr>
        <w:t xml:space="preserve">           本项目</w:t>
      </w:r>
      <w:r>
        <w:rPr>
          <w:rFonts w:ascii="黑体" w:hAnsi="黑体" w:eastAsia="黑体"/>
          <w:kern w:val="0"/>
          <w:sz w:val="24"/>
          <w:szCs w:val="24"/>
        </w:rPr>
        <w:t>PM</w:t>
      </w:r>
      <w:r>
        <w:rPr>
          <w:rFonts w:ascii="黑体" w:hAnsi="黑体" w:eastAsia="黑体"/>
          <w:kern w:val="0"/>
          <w:sz w:val="24"/>
          <w:szCs w:val="24"/>
          <w:vertAlign w:val="subscript"/>
        </w:rPr>
        <w:t>10</w:t>
      </w:r>
      <w:r>
        <w:rPr>
          <w:rFonts w:hint="eastAsia" w:ascii="Times New Roman" w:hAnsi="Times New Roman" w:eastAsia="黑体" w:cs="Times New Roman"/>
          <w:sz w:val="24"/>
          <w:szCs w:val="24"/>
        </w:rPr>
        <w:t>因子</w:t>
      </w:r>
      <w:r>
        <w:rPr>
          <w:rFonts w:ascii="Times New Roman" w:hAnsi="Times New Roman" w:eastAsia="黑体" w:cs="Times New Roman"/>
          <w:sz w:val="24"/>
          <w:szCs w:val="24"/>
        </w:rPr>
        <w:t>预测结果一览表</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220"/>
        <w:gridCol w:w="956"/>
        <w:gridCol w:w="1057"/>
        <w:gridCol w:w="1804"/>
        <w:gridCol w:w="1312"/>
        <w:gridCol w:w="914"/>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序号</w:t>
            </w:r>
          </w:p>
        </w:tc>
        <w:tc>
          <w:tcPr>
            <w:tcW w:w="1220"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点名称</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浓度类型</w:t>
            </w:r>
          </w:p>
        </w:tc>
        <w:tc>
          <w:tcPr>
            <w:tcW w:w="1057"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贡献浓度（</w:t>
            </w:r>
            <w:r>
              <w:rPr>
                <w:rFonts w:ascii="Times New Roman" w:hAnsi="Times New Roman" w:eastAsia="宋体" w:cs="Times New Roman"/>
                <w:sz w:val="18"/>
                <w:szCs w:val="18"/>
              </w:rPr>
              <w:t>μ</w:t>
            </w:r>
            <w:r>
              <w:rPr>
                <w:rFonts w:ascii="Times New Roman" w:hAnsi="Times New Roman" w:eastAsia="宋体" w:cs="Times New Roman"/>
                <w:kern w:val="0"/>
                <w:sz w:val="18"/>
                <w:szCs w:val="18"/>
              </w:rPr>
              <w:t>g/m</w:t>
            </w:r>
            <w:r>
              <w:rPr>
                <w:rFonts w:ascii="Times New Roman" w:hAnsi="Times New Roman" w:eastAsia="宋体" w:cs="Times New Roman"/>
                <w:kern w:val="0"/>
                <w:sz w:val="18"/>
                <w:szCs w:val="18"/>
                <w:vertAlign w:val="superscript"/>
              </w:rPr>
              <w:t>3</w:t>
            </w:r>
            <w:r>
              <w:rPr>
                <w:rFonts w:ascii="Times New Roman" w:hAnsi="Times New Roman" w:eastAsia="宋体" w:cs="Times New Roman"/>
                <w:kern w:val="0"/>
                <w:sz w:val="18"/>
                <w:szCs w:val="18"/>
              </w:rPr>
              <w:t>）</w:t>
            </w:r>
          </w:p>
        </w:tc>
        <w:tc>
          <w:tcPr>
            <w:tcW w:w="1804"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出现时间（YMMDDHH）</w:t>
            </w:r>
          </w:p>
        </w:tc>
        <w:tc>
          <w:tcPr>
            <w:tcW w:w="1312"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评价标准（</w:t>
            </w:r>
            <w:r>
              <w:rPr>
                <w:rFonts w:ascii="Times New Roman" w:hAnsi="Times New Roman" w:eastAsia="宋体" w:cs="Times New Roman"/>
                <w:sz w:val="18"/>
                <w:szCs w:val="18"/>
              </w:rPr>
              <w:t>μ</w:t>
            </w:r>
            <w:r>
              <w:rPr>
                <w:rFonts w:ascii="Times New Roman" w:hAnsi="Times New Roman" w:eastAsia="宋体" w:cs="Times New Roman"/>
                <w:kern w:val="0"/>
                <w:sz w:val="18"/>
                <w:szCs w:val="18"/>
              </w:rPr>
              <w:t>g/m</w:t>
            </w:r>
            <w:r>
              <w:rPr>
                <w:rFonts w:ascii="Times New Roman" w:hAnsi="Times New Roman" w:eastAsia="宋体" w:cs="Times New Roman"/>
                <w:kern w:val="0"/>
                <w:sz w:val="18"/>
                <w:szCs w:val="18"/>
                <w:vertAlign w:val="superscript"/>
              </w:rPr>
              <w:t>3</w:t>
            </w:r>
            <w:r>
              <w:rPr>
                <w:rFonts w:ascii="Times New Roman" w:hAnsi="Times New Roman" w:eastAsia="宋体" w:cs="Times New Roman"/>
                <w:kern w:val="0"/>
                <w:sz w:val="18"/>
                <w:szCs w:val="18"/>
              </w:rPr>
              <w:t>）</w:t>
            </w:r>
          </w:p>
        </w:tc>
        <w:tc>
          <w:tcPr>
            <w:tcW w:w="914"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占标率（%）</w:t>
            </w:r>
          </w:p>
        </w:tc>
        <w:tc>
          <w:tcPr>
            <w:tcW w:w="582"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谷家庄村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0.051</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160317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0.03</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0.006</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胡乜村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0.025</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160522</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0.001</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康呼村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0.065</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161211</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0.04</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0.007</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濮阳职业技术学院</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0.056</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161210</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0.04</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0.003</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后漳消村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0.035</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160717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0.001</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后黄甫村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0.030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160108</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0.001</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前漳消村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0.056</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160612</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0.04</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0.003</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韩庄村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0.011</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160910</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油坊村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0.072</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161211</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0.05</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0.003</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张康呼</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0.084</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161211</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0.06</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0.005</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刘康呼</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0.092</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161121</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0.06</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0.009</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蔡王合村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0.017</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160215</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0.001</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前皇甫村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0.047</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160127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0.03</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0.001</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吕家庄村</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0.044</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161103</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0.03</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0.005</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w:t>
            </w:r>
          </w:p>
        </w:tc>
        <w:tc>
          <w:tcPr>
            <w:tcW w:w="1220"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杜家庄</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0.039</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160617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0.03</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0.003</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w:t>
            </w:r>
          </w:p>
        </w:tc>
        <w:tc>
          <w:tcPr>
            <w:tcW w:w="1220" w:type="dxa"/>
            <w:vMerge w:val="restar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濮阳世锦园</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0.078</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161113</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0.05</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w:t>
            </w:r>
          </w:p>
        </w:tc>
        <w:tc>
          <w:tcPr>
            <w:tcW w:w="1220" w:type="dxa"/>
            <w:vMerge w:val="restar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中原绿色庄园</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0.073</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160405</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0.05</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w:t>
            </w:r>
          </w:p>
        </w:tc>
        <w:tc>
          <w:tcPr>
            <w:tcW w:w="1220" w:type="dxa"/>
            <w:vMerge w:val="restart"/>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濮上园</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0.039</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160520</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0.03</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Merge w:val="continue"/>
            <w:vAlign w:val="center"/>
          </w:tcPr>
          <w:p>
            <w:pPr>
              <w:spacing w:line="240" w:lineRule="exact"/>
              <w:jc w:val="center"/>
              <w:rPr>
                <w:rFonts w:ascii="Times New Roman" w:hAnsi="Times New Roman" w:eastAsia="宋体" w:cs="Times New Roman"/>
                <w:kern w:val="0"/>
                <w:sz w:val="18"/>
                <w:szCs w:val="18"/>
              </w:rPr>
            </w:pP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0.003</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restart"/>
            <w:vAlign w:val="center"/>
          </w:tcPr>
          <w:p>
            <w:pPr>
              <w:spacing w:line="24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19</w:t>
            </w:r>
          </w:p>
        </w:tc>
        <w:tc>
          <w:tcPr>
            <w:tcW w:w="1220"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网格（0,-300）</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0.394</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160627</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0.26</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 w:type="dxa"/>
            <w:vMerge w:val="continue"/>
            <w:vAlign w:val="center"/>
          </w:tcPr>
          <w:p>
            <w:pPr>
              <w:spacing w:line="240" w:lineRule="exact"/>
              <w:jc w:val="center"/>
              <w:rPr>
                <w:rFonts w:ascii="Times New Roman" w:hAnsi="Times New Roman" w:eastAsia="宋体" w:cs="Times New Roman"/>
                <w:kern w:val="0"/>
                <w:sz w:val="18"/>
                <w:szCs w:val="18"/>
              </w:rPr>
            </w:pPr>
          </w:p>
        </w:tc>
        <w:tc>
          <w:tcPr>
            <w:tcW w:w="1220"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网格（0,-200）</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年平均</w:t>
            </w:r>
          </w:p>
        </w:tc>
        <w:tc>
          <w:tcPr>
            <w:tcW w:w="105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0.060</w:t>
            </w:r>
          </w:p>
        </w:tc>
        <w:tc>
          <w:tcPr>
            <w:tcW w:w="180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平均值</w:t>
            </w:r>
          </w:p>
        </w:tc>
        <w:tc>
          <w:tcPr>
            <w:tcW w:w="131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914"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0.09</w:t>
            </w:r>
          </w:p>
        </w:tc>
        <w:tc>
          <w:tcPr>
            <w:tcW w:w="58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bl>
    <w:p>
      <w:pPr>
        <w:spacing w:line="480" w:lineRule="exact"/>
        <w:ind w:firstLine="480" w:firstLineChars="200"/>
        <w:rPr>
          <w:rFonts w:ascii="Times New Roman" w:hAnsi="Times New Roman" w:eastAsia="宋体"/>
          <w:kern w:val="0"/>
          <w:sz w:val="24"/>
          <w:szCs w:val="24"/>
        </w:rPr>
      </w:pPr>
      <w:r>
        <w:rPr>
          <w:rFonts w:ascii="Times New Roman" w:hAnsi="Times New Roman" w:eastAsia="宋体"/>
          <w:kern w:val="0"/>
          <w:sz w:val="24"/>
          <w:szCs w:val="24"/>
        </w:rPr>
        <w:t>由上表可以看出，评价区域内</w:t>
      </w:r>
      <w:r>
        <w:rPr>
          <w:rFonts w:hint="eastAsia" w:ascii="Times New Roman" w:hAnsi="Times New Roman" w:eastAsia="宋体"/>
          <w:kern w:val="0"/>
          <w:sz w:val="24"/>
          <w:szCs w:val="24"/>
        </w:rPr>
        <w:t>环境敏感点的</w:t>
      </w:r>
      <w:r>
        <w:rPr>
          <w:rFonts w:ascii="Times New Roman" w:hAnsi="Times New Roman" w:eastAsia="宋体"/>
          <w:kern w:val="0"/>
          <w:sz w:val="24"/>
          <w:szCs w:val="24"/>
        </w:rPr>
        <w:t>PM</w:t>
      </w:r>
      <w:r>
        <w:rPr>
          <w:rFonts w:ascii="Times New Roman" w:hAnsi="Times New Roman" w:eastAsia="宋体"/>
          <w:kern w:val="0"/>
          <w:sz w:val="24"/>
          <w:szCs w:val="24"/>
          <w:vertAlign w:val="subscript"/>
        </w:rPr>
        <w:t>10</w:t>
      </w:r>
      <w:r>
        <w:rPr>
          <w:rFonts w:ascii="Times New Roman" w:hAnsi="Times New Roman" w:eastAsia="宋体"/>
          <w:kern w:val="0"/>
          <w:sz w:val="24"/>
          <w:szCs w:val="24"/>
        </w:rPr>
        <w:t>预测结果均未超过环境质量标准限值，网格点预测结果均未超标，不会对周边环境产生影响。其中日平均</w:t>
      </w:r>
      <w:r>
        <w:rPr>
          <w:rFonts w:hint="eastAsia" w:ascii="Times New Roman" w:hAnsi="Times New Roman" w:eastAsia="宋体"/>
          <w:kern w:val="0"/>
          <w:sz w:val="24"/>
          <w:szCs w:val="24"/>
        </w:rPr>
        <w:t>浓度</w:t>
      </w:r>
      <w:r>
        <w:rPr>
          <w:rFonts w:ascii="Times New Roman" w:hAnsi="Times New Roman" w:eastAsia="宋体"/>
          <w:kern w:val="0"/>
          <w:sz w:val="24"/>
          <w:szCs w:val="24"/>
        </w:rPr>
        <w:t>的最大占标率为0.06%，出现在</w:t>
      </w:r>
      <w:r>
        <w:rPr>
          <w:rFonts w:hint="eastAsia" w:ascii="Times New Roman" w:hAnsi="Times New Roman" w:eastAsia="宋体"/>
          <w:kern w:val="0"/>
          <w:sz w:val="24"/>
          <w:szCs w:val="24"/>
        </w:rPr>
        <w:t>张康呼和刘康呼</w:t>
      </w:r>
      <w:r>
        <w:rPr>
          <w:rFonts w:ascii="Times New Roman" w:hAnsi="Times New Roman" w:eastAsia="宋体"/>
          <w:kern w:val="0"/>
          <w:sz w:val="24"/>
          <w:szCs w:val="24"/>
        </w:rPr>
        <w:t>。</w:t>
      </w:r>
      <w:r>
        <w:rPr>
          <w:rFonts w:hint="eastAsia" w:ascii="Times New Roman" w:hAnsi="Times New Roman" w:eastAsia="宋体"/>
          <w:kern w:val="0"/>
          <w:sz w:val="24"/>
          <w:szCs w:val="24"/>
        </w:rPr>
        <w:t>年平均浓度</w:t>
      </w:r>
      <w:r>
        <w:rPr>
          <w:rFonts w:ascii="Times New Roman" w:hAnsi="Times New Roman" w:eastAsia="宋体"/>
          <w:kern w:val="0"/>
          <w:sz w:val="24"/>
          <w:szCs w:val="24"/>
        </w:rPr>
        <w:t>的最大占标率为0.01%，出现在谷家庄村</w:t>
      </w:r>
      <w:r>
        <w:rPr>
          <w:rFonts w:hint="eastAsia" w:ascii="Times New Roman" w:hAnsi="Times New Roman" w:eastAsia="宋体"/>
          <w:kern w:val="0"/>
          <w:sz w:val="24"/>
          <w:szCs w:val="24"/>
        </w:rPr>
        <w:t>、</w:t>
      </w:r>
      <w:r>
        <w:rPr>
          <w:rFonts w:ascii="Times New Roman" w:hAnsi="Times New Roman" w:eastAsia="宋体"/>
          <w:kern w:val="0"/>
          <w:sz w:val="24"/>
          <w:szCs w:val="24"/>
        </w:rPr>
        <w:t>康呼村</w:t>
      </w:r>
      <w:r>
        <w:rPr>
          <w:rFonts w:hint="eastAsia" w:ascii="Times New Roman" w:hAnsi="Times New Roman" w:eastAsia="宋体"/>
          <w:kern w:val="0"/>
          <w:sz w:val="24"/>
          <w:szCs w:val="24"/>
        </w:rPr>
        <w:t>、</w:t>
      </w:r>
      <w:r>
        <w:rPr>
          <w:rFonts w:ascii="Times New Roman" w:hAnsi="Times New Roman" w:eastAsia="宋体"/>
          <w:kern w:val="0"/>
          <w:sz w:val="24"/>
          <w:szCs w:val="24"/>
        </w:rPr>
        <w:t>张康呼</w:t>
      </w:r>
      <w:r>
        <w:rPr>
          <w:rFonts w:hint="eastAsia" w:ascii="Times New Roman" w:hAnsi="Times New Roman" w:eastAsia="宋体"/>
          <w:kern w:val="0"/>
          <w:sz w:val="24"/>
          <w:szCs w:val="24"/>
        </w:rPr>
        <w:t>、</w:t>
      </w:r>
      <w:r>
        <w:rPr>
          <w:rFonts w:ascii="Times New Roman" w:hAnsi="Times New Roman" w:eastAsia="宋体"/>
          <w:kern w:val="0"/>
          <w:sz w:val="24"/>
          <w:szCs w:val="24"/>
        </w:rPr>
        <w:t>刘康呼</w:t>
      </w:r>
      <w:r>
        <w:rPr>
          <w:rFonts w:hint="eastAsia" w:ascii="Times New Roman" w:hAnsi="Times New Roman" w:eastAsia="宋体"/>
          <w:kern w:val="0"/>
          <w:sz w:val="24"/>
          <w:szCs w:val="24"/>
        </w:rPr>
        <w:t>、</w:t>
      </w:r>
      <w:r>
        <w:rPr>
          <w:rFonts w:ascii="Times New Roman" w:hAnsi="Times New Roman" w:eastAsia="宋体"/>
          <w:kern w:val="0"/>
          <w:sz w:val="24"/>
          <w:szCs w:val="24"/>
        </w:rPr>
        <w:t>吕家庄村</w:t>
      </w:r>
      <w:r>
        <w:rPr>
          <w:rFonts w:hint="eastAsia" w:ascii="Times New Roman" w:hAnsi="Times New Roman" w:eastAsia="宋体"/>
          <w:kern w:val="0"/>
          <w:sz w:val="24"/>
          <w:szCs w:val="24"/>
        </w:rPr>
        <w:t>、</w:t>
      </w:r>
      <w:r>
        <w:rPr>
          <w:rFonts w:ascii="Times New Roman" w:hAnsi="Times New Roman" w:eastAsia="宋体"/>
          <w:kern w:val="0"/>
          <w:sz w:val="24"/>
          <w:szCs w:val="24"/>
        </w:rPr>
        <w:t>濮阳世锦园</w:t>
      </w:r>
      <w:r>
        <w:rPr>
          <w:rFonts w:hint="eastAsia" w:ascii="Times New Roman" w:hAnsi="Times New Roman" w:eastAsia="宋体"/>
          <w:kern w:val="0"/>
          <w:sz w:val="24"/>
          <w:szCs w:val="24"/>
        </w:rPr>
        <w:t>和</w:t>
      </w:r>
      <w:r>
        <w:rPr>
          <w:rFonts w:ascii="Times New Roman" w:hAnsi="Times New Roman" w:eastAsia="宋体"/>
          <w:kern w:val="0"/>
          <w:sz w:val="24"/>
          <w:szCs w:val="24"/>
        </w:rPr>
        <w:t>中原绿色庄园</w:t>
      </w:r>
      <w:r>
        <w:rPr>
          <w:rFonts w:hint="eastAsia" w:ascii="Times New Roman" w:hAnsi="Times New Roman" w:eastAsia="宋体"/>
          <w:kern w:val="0"/>
          <w:sz w:val="24"/>
          <w:szCs w:val="24"/>
        </w:rPr>
        <w:t>。</w:t>
      </w:r>
    </w:p>
    <w:p>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w:t>
      </w:r>
      <w:r>
        <w:rPr>
          <w:rFonts w:ascii="Times New Roman" w:hAnsi="Times New Roman" w:eastAsia="宋体"/>
          <w:kern w:val="0"/>
          <w:sz w:val="24"/>
          <w:szCs w:val="24"/>
        </w:rPr>
        <w:t>4）</w:t>
      </w:r>
      <w:r>
        <w:rPr>
          <w:rFonts w:hint="eastAsia" w:ascii="Times New Roman" w:hAnsi="Times New Roman" w:eastAsia="宋体"/>
          <w:kern w:val="0"/>
          <w:sz w:val="24"/>
          <w:szCs w:val="24"/>
        </w:rPr>
        <w:t>非甲烷总烃预测结果及评价</w:t>
      </w:r>
    </w:p>
    <w:p>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本项目非甲烷总烃预测结果见下表。</w:t>
      </w:r>
    </w:p>
    <w:p>
      <w:pPr>
        <w:spacing w:line="48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表</w:t>
      </w:r>
      <w:r>
        <w:rPr>
          <w:rFonts w:ascii="Times New Roman" w:hAnsi="Times New Roman" w:eastAsia="黑体" w:cs="Times New Roman"/>
          <w:sz w:val="24"/>
          <w:szCs w:val="24"/>
        </w:rPr>
        <w:t>4.1-9</w:t>
      </w:r>
      <w:r>
        <w:rPr>
          <w:rFonts w:hint="eastAsia" w:ascii="Times New Roman" w:hAnsi="Times New Roman" w:eastAsia="黑体" w:cs="Times New Roman"/>
          <w:sz w:val="24"/>
          <w:szCs w:val="24"/>
        </w:rPr>
        <w:t xml:space="preserve">           本项目非甲烷总烃因子</w:t>
      </w:r>
      <w:r>
        <w:rPr>
          <w:rFonts w:ascii="Times New Roman" w:hAnsi="Times New Roman" w:eastAsia="黑体" w:cs="Times New Roman"/>
          <w:sz w:val="24"/>
          <w:szCs w:val="24"/>
        </w:rPr>
        <w:t>预测结果一览表</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956"/>
        <w:gridCol w:w="831"/>
        <w:gridCol w:w="1185"/>
        <w:gridCol w:w="1868"/>
        <w:gridCol w:w="1379"/>
        <w:gridCol w:w="967"/>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widowControl/>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956"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名称</w:t>
            </w:r>
          </w:p>
        </w:tc>
        <w:tc>
          <w:tcPr>
            <w:tcW w:w="831"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浓度类型</w:t>
            </w:r>
          </w:p>
        </w:tc>
        <w:tc>
          <w:tcPr>
            <w:tcW w:w="1185"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贡献浓度（</w:t>
            </w:r>
            <w:r>
              <w:rPr>
                <w:rFonts w:ascii="Times New Roman" w:hAnsi="Times New Roman" w:eastAsia="宋体" w:cs="Times New Roman"/>
                <w:sz w:val="18"/>
                <w:szCs w:val="18"/>
              </w:rPr>
              <w:t>m</w:t>
            </w:r>
            <w:r>
              <w:rPr>
                <w:rFonts w:ascii="Times New Roman" w:hAnsi="Times New Roman" w:eastAsia="宋体" w:cs="Times New Roman"/>
                <w:kern w:val="0"/>
                <w:sz w:val="18"/>
                <w:szCs w:val="18"/>
              </w:rPr>
              <w:t>g/m</w:t>
            </w:r>
            <w:r>
              <w:rPr>
                <w:rFonts w:ascii="Times New Roman" w:hAnsi="Times New Roman" w:eastAsia="宋体" w:cs="Times New Roman"/>
                <w:kern w:val="0"/>
                <w:sz w:val="18"/>
                <w:szCs w:val="18"/>
                <w:vertAlign w:val="superscript"/>
              </w:rPr>
              <w:t>3</w:t>
            </w:r>
            <w:r>
              <w:rPr>
                <w:rFonts w:ascii="Times New Roman" w:hAnsi="Times New Roman" w:eastAsia="宋体" w:cs="Times New Roman"/>
                <w:kern w:val="0"/>
                <w:sz w:val="18"/>
                <w:szCs w:val="18"/>
              </w:rPr>
              <w:t>）</w:t>
            </w:r>
          </w:p>
        </w:tc>
        <w:tc>
          <w:tcPr>
            <w:tcW w:w="1868"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出现时间（YMMDDHH）</w:t>
            </w:r>
          </w:p>
        </w:tc>
        <w:tc>
          <w:tcPr>
            <w:tcW w:w="1379"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评价标准（</w:t>
            </w:r>
            <w:r>
              <w:rPr>
                <w:rFonts w:ascii="Times New Roman" w:hAnsi="Times New Roman" w:eastAsia="宋体" w:cs="Times New Roman"/>
                <w:sz w:val="18"/>
                <w:szCs w:val="18"/>
              </w:rPr>
              <w:t>m</w:t>
            </w:r>
            <w:r>
              <w:rPr>
                <w:rFonts w:ascii="Times New Roman" w:hAnsi="Times New Roman" w:eastAsia="宋体" w:cs="Times New Roman"/>
                <w:kern w:val="0"/>
                <w:sz w:val="18"/>
                <w:szCs w:val="18"/>
              </w:rPr>
              <w:t>g/m</w:t>
            </w:r>
            <w:r>
              <w:rPr>
                <w:rFonts w:ascii="Times New Roman" w:hAnsi="Times New Roman" w:eastAsia="宋体" w:cs="Times New Roman"/>
                <w:kern w:val="0"/>
                <w:sz w:val="18"/>
                <w:szCs w:val="18"/>
                <w:vertAlign w:val="superscript"/>
              </w:rPr>
              <w:t>3</w:t>
            </w:r>
            <w:r>
              <w:rPr>
                <w:rFonts w:ascii="Times New Roman" w:hAnsi="Times New Roman" w:eastAsia="宋体" w:cs="Times New Roman"/>
                <w:kern w:val="0"/>
                <w:sz w:val="18"/>
                <w:szCs w:val="18"/>
              </w:rPr>
              <w:t>）</w:t>
            </w:r>
          </w:p>
        </w:tc>
        <w:tc>
          <w:tcPr>
            <w:tcW w:w="967"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占标率（%）</w:t>
            </w:r>
          </w:p>
        </w:tc>
        <w:tc>
          <w:tcPr>
            <w:tcW w:w="635"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谷家庄村</w:t>
            </w:r>
          </w:p>
        </w:tc>
        <w:tc>
          <w:tcPr>
            <w:tcW w:w="831"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185" w:type="dxa"/>
            <w:vAlign w:val="center"/>
          </w:tcPr>
          <w:p>
            <w:pPr>
              <w:widowControl/>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0.042</w:t>
            </w:r>
          </w:p>
        </w:tc>
        <w:tc>
          <w:tcPr>
            <w:tcW w:w="1868" w:type="dxa"/>
            <w:vAlign w:val="center"/>
          </w:tcPr>
          <w:p>
            <w:pPr>
              <w:widowControl/>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16020324</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widowControl/>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2.07</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胡乜村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0.034</w:t>
            </w:r>
          </w:p>
        </w:tc>
        <w:tc>
          <w:tcPr>
            <w:tcW w:w="1868"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16100204</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1.72</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康呼村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0.075</w:t>
            </w:r>
          </w:p>
        </w:tc>
        <w:tc>
          <w:tcPr>
            <w:tcW w:w="1868"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16012706</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3.74</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濮阳职业技术学院</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0.054</w:t>
            </w:r>
          </w:p>
        </w:tc>
        <w:tc>
          <w:tcPr>
            <w:tcW w:w="1868"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16120307</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2.71</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后漳消村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0.120</w:t>
            </w:r>
          </w:p>
        </w:tc>
        <w:tc>
          <w:tcPr>
            <w:tcW w:w="1868"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16121903</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后黄甫村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0.027</w:t>
            </w:r>
          </w:p>
        </w:tc>
        <w:tc>
          <w:tcPr>
            <w:tcW w:w="1868"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16101505</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1.35</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7</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前漳消村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0.058</w:t>
            </w:r>
          </w:p>
        </w:tc>
        <w:tc>
          <w:tcPr>
            <w:tcW w:w="1868"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16090605</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2.91</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韩庄村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0.004</w:t>
            </w:r>
          </w:p>
        </w:tc>
        <w:tc>
          <w:tcPr>
            <w:tcW w:w="1868"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16060905</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0.22</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9</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油坊村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0.009</w:t>
            </w:r>
          </w:p>
        </w:tc>
        <w:tc>
          <w:tcPr>
            <w:tcW w:w="1868"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16051320</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0.46</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张康呼</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0.020</w:t>
            </w:r>
          </w:p>
        </w:tc>
        <w:tc>
          <w:tcPr>
            <w:tcW w:w="1868"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16111723</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0.97</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11</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刘康呼</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0.054</w:t>
            </w:r>
          </w:p>
        </w:tc>
        <w:tc>
          <w:tcPr>
            <w:tcW w:w="1868"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16110106</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2.72</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蔡王合村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0.031</w:t>
            </w:r>
          </w:p>
        </w:tc>
        <w:tc>
          <w:tcPr>
            <w:tcW w:w="1868"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16121903</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1.57</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13</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前皇甫村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0.024</w:t>
            </w:r>
          </w:p>
        </w:tc>
        <w:tc>
          <w:tcPr>
            <w:tcW w:w="1868"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16121006</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1.22</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14</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吕家庄村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0.023</w:t>
            </w:r>
          </w:p>
        </w:tc>
        <w:tc>
          <w:tcPr>
            <w:tcW w:w="1868"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16112423</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1.13</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杜家庄</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0.023</w:t>
            </w:r>
          </w:p>
        </w:tc>
        <w:tc>
          <w:tcPr>
            <w:tcW w:w="1868"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16120405</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1.16</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濮阳世锦园</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0.150</w:t>
            </w:r>
          </w:p>
        </w:tc>
        <w:tc>
          <w:tcPr>
            <w:tcW w:w="1868"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16091404</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7.48</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17</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中原绿色庄园</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0.048</w:t>
            </w:r>
          </w:p>
        </w:tc>
        <w:tc>
          <w:tcPr>
            <w:tcW w:w="1868"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16121606</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2.39</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18</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濮上园</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0.062</w:t>
            </w:r>
          </w:p>
        </w:tc>
        <w:tc>
          <w:tcPr>
            <w:tcW w:w="1868"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16121207</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3.11</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网格</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100,100</w:t>
            </w:r>
            <w:r>
              <w:rPr>
                <w:rFonts w:hint="eastAsia" w:ascii="Times New Roman" w:hAnsi="Times New Roman" w:eastAsia="宋体" w:cs="Times New Roman"/>
                <w:kern w:val="0"/>
                <w:sz w:val="18"/>
                <w:szCs w:val="18"/>
              </w:rPr>
              <w:t>)</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1.150</w:t>
            </w:r>
          </w:p>
        </w:tc>
        <w:tc>
          <w:tcPr>
            <w:tcW w:w="1868"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16071606</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57.45</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bl>
    <w:p>
      <w:pPr>
        <w:spacing w:line="480" w:lineRule="exact"/>
        <w:ind w:firstLine="480" w:firstLineChars="200"/>
        <w:rPr>
          <w:rFonts w:ascii="Times New Roman" w:hAnsi="Times New Roman" w:eastAsia="宋体"/>
          <w:kern w:val="0"/>
          <w:sz w:val="24"/>
          <w:szCs w:val="24"/>
        </w:rPr>
      </w:pPr>
      <w:r>
        <w:rPr>
          <w:rFonts w:ascii="Times New Roman" w:hAnsi="Times New Roman" w:eastAsia="宋体"/>
          <w:kern w:val="0"/>
          <w:sz w:val="24"/>
          <w:szCs w:val="24"/>
        </w:rPr>
        <w:t>由上表可以看出，评价区域内</w:t>
      </w:r>
      <w:r>
        <w:rPr>
          <w:rFonts w:hint="eastAsia" w:ascii="Times New Roman" w:hAnsi="Times New Roman" w:eastAsia="宋体"/>
          <w:kern w:val="0"/>
          <w:sz w:val="24"/>
          <w:szCs w:val="24"/>
        </w:rPr>
        <w:t>环境敏感点的非甲烷总烃</w:t>
      </w:r>
      <w:r>
        <w:rPr>
          <w:rFonts w:ascii="Times New Roman" w:hAnsi="Times New Roman" w:eastAsia="宋体"/>
          <w:kern w:val="0"/>
          <w:sz w:val="24"/>
          <w:szCs w:val="24"/>
        </w:rPr>
        <w:t>预测结果均未超过环境质量标准限值，网格点预测结果均未超标，不会对周边环境产生影响。其中，各关心点</w:t>
      </w:r>
      <w:r>
        <w:rPr>
          <w:rFonts w:hint="eastAsia" w:ascii="Times New Roman" w:hAnsi="Times New Roman" w:eastAsia="宋体"/>
          <w:kern w:val="0"/>
          <w:sz w:val="24"/>
          <w:szCs w:val="24"/>
        </w:rPr>
        <w:t>非甲烷总烃</w:t>
      </w:r>
      <w:r>
        <w:rPr>
          <w:rFonts w:ascii="Times New Roman" w:hAnsi="Times New Roman" w:eastAsia="宋体"/>
          <w:kern w:val="0"/>
          <w:sz w:val="24"/>
          <w:szCs w:val="24"/>
        </w:rPr>
        <w:t>1小时</w:t>
      </w:r>
      <w:r>
        <w:rPr>
          <w:rFonts w:hint="eastAsia" w:ascii="Times New Roman" w:hAnsi="Times New Roman" w:eastAsia="宋体"/>
          <w:kern w:val="0"/>
          <w:sz w:val="24"/>
          <w:szCs w:val="24"/>
        </w:rPr>
        <w:t>浓度</w:t>
      </w:r>
      <w:r>
        <w:rPr>
          <w:rFonts w:ascii="Times New Roman" w:hAnsi="Times New Roman" w:eastAsia="宋体"/>
          <w:kern w:val="0"/>
          <w:sz w:val="24"/>
          <w:szCs w:val="24"/>
        </w:rPr>
        <w:t>的最大占标率为1%，出现在濮阳世锦园</w:t>
      </w:r>
      <w:r>
        <w:rPr>
          <w:rFonts w:hint="eastAsia" w:ascii="Times New Roman" w:hAnsi="Times New Roman" w:eastAsia="宋体"/>
          <w:kern w:val="0"/>
          <w:sz w:val="24"/>
          <w:szCs w:val="24"/>
        </w:rPr>
        <w:t>。</w:t>
      </w:r>
      <w:r>
        <w:rPr>
          <w:rFonts w:ascii="Times New Roman" w:hAnsi="Times New Roman" w:eastAsia="宋体"/>
          <w:kern w:val="0"/>
          <w:sz w:val="24"/>
          <w:szCs w:val="24"/>
        </w:rPr>
        <w:t>网格点预测结果在（100，100）处浓度值最大，小时均值最大占标率</w:t>
      </w:r>
      <w:r>
        <w:rPr>
          <w:rFonts w:hint="eastAsia" w:ascii="Times New Roman" w:hAnsi="Times New Roman" w:eastAsia="宋体"/>
          <w:kern w:val="0"/>
          <w:sz w:val="24"/>
          <w:szCs w:val="24"/>
        </w:rPr>
        <w:t>为57.45</w:t>
      </w:r>
      <w:r>
        <w:rPr>
          <w:rFonts w:ascii="Times New Roman" w:hAnsi="Times New Roman" w:eastAsia="宋体"/>
          <w:kern w:val="0"/>
          <w:sz w:val="24"/>
          <w:szCs w:val="24"/>
        </w:rPr>
        <w:t>%</w:t>
      </w:r>
      <w:r>
        <w:rPr>
          <w:rFonts w:hint="eastAsia" w:ascii="Times New Roman" w:hAnsi="Times New Roman" w:eastAsia="宋体"/>
          <w:kern w:val="0"/>
          <w:sz w:val="24"/>
          <w:szCs w:val="24"/>
        </w:rPr>
        <w:t>。</w:t>
      </w:r>
    </w:p>
    <w:p>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w:t>
      </w:r>
      <w:r>
        <w:rPr>
          <w:rFonts w:ascii="Times New Roman" w:hAnsi="Times New Roman" w:eastAsia="宋体"/>
          <w:kern w:val="0"/>
          <w:sz w:val="24"/>
          <w:szCs w:val="24"/>
        </w:rPr>
        <w:t>5）</w:t>
      </w:r>
      <w:r>
        <w:rPr>
          <w:rFonts w:hint="eastAsia" w:ascii="Times New Roman" w:hAnsi="Times New Roman" w:eastAsia="宋体"/>
          <w:kern w:val="0"/>
          <w:sz w:val="24"/>
          <w:szCs w:val="24"/>
        </w:rPr>
        <w:t>H</w:t>
      </w:r>
      <w:r>
        <w:rPr>
          <w:rFonts w:ascii="Times New Roman" w:hAnsi="Times New Roman" w:eastAsia="宋体"/>
          <w:kern w:val="0"/>
          <w:sz w:val="24"/>
          <w:szCs w:val="24"/>
          <w:vertAlign w:val="subscript"/>
        </w:rPr>
        <w:t>2</w:t>
      </w:r>
      <w:r>
        <w:rPr>
          <w:rFonts w:ascii="Times New Roman" w:hAnsi="Times New Roman" w:eastAsia="宋体"/>
          <w:kern w:val="0"/>
          <w:sz w:val="24"/>
          <w:szCs w:val="24"/>
        </w:rPr>
        <w:t>S</w:t>
      </w:r>
      <w:r>
        <w:rPr>
          <w:rFonts w:hint="eastAsia" w:ascii="Times New Roman" w:hAnsi="Times New Roman" w:eastAsia="宋体"/>
          <w:kern w:val="0"/>
          <w:sz w:val="24"/>
          <w:szCs w:val="24"/>
        </w:rPr>
        <w:t>预测结果及评价</w:t>
      </w:r>
    </w:p>
    <w:p>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本项目H</w:t>
      </w:r>
      <w:r>
        <w:rPr>
          <w:rFonts w:ascii="Times New Roman" w:hAnsi="Times New Roman" w:eastAsia="宋体"/>
          <w:kern w:val="0"/>
          <w:sz w:val="24"/>
          <w:szCs w:val="24"/>
          <w:vertAlign w:val="subscript"/>
        </w:rPr>
        <w:t>2</w:t>
      </w:r>
      <w:r>
        <w:rPr>
          <w:rFonts w:ascii="Times New Roman" w:hAnsi="Times New Roman" w:eastAsia="宋体"/>
          <w:kern w:val="0"/>
          <w:sz w:val="24"/>
          <w:szCs w:val="24"/>
        </w:rPr>
        <w:t>S</w:t>
      </w:r>
      <w:r>
        <w:rPr>
          <w:rFonts w:hint="eastAsia" w:ascii="Times New Roman" w:hAnsi="Times New Roman" w:eastAsia="宋体"/>
          <w:kern w:val="0"/>
          <w:sz w:val="24"/>
          <w:szCs w:val="24"/>
        </w:rPr>
        <w:t>预测结果见下表。</w:t>
      </w:r>
    </w:p>
    <w:p>
      <w:pPr>
        <w:spacing w:line="48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表</w:t>
      </w:r>
      <w:r>
        <w:rPr>
          <w:rFonts w:ascii="Times New Roman" w:hAnsi="Times New Roman" w:eastAsia="黑体" w:cs="Times New Roman"/>
          <w:sz w:val="24"/>
          <w:szCs w:val="24"/>
        </w:rPr>
        <w:t>4.1-10</w:t>
      </w:r>
      <w:r>
        <w:rPr>
          <w:rFonts w:hint="eastAsia" w:ascii="Times New Roman" w:hAnsi="Times New Roman" w:eastAsia="黑体" w:cs="Times New Roman"/>
          <w:sz w:val="24"/>
          <w:szCs w:val="24"/>
        </w:rPr>
        <w:t xml:space="preserve">           本项目</w:t>
      </w:r>
      <w:r>
        <w:rPr>
          <w:rFonts w:ascii="Times New Roman" w:hAnsi="Times New Roman" w:eastAsia="黑体" w:cs="Times New Roman"/>
          <w:sz w:val="24"/>
          <w:szCs w:val="24"/>
        </w:rPr>
        <w:t>H</w:t>
      </w:r>
      <w:r>
        <w:rPr>
          <w:rFonts w:ascii="Times New Roman" w:hAnsi="Times New Roman" w:eastAsia="黑体" w:cs="Times New Roman"/>
          <w:sz w:val="24"/>
          <w:szCs w:val="24"/>
          <w:vertAlign w:val="subscript"/>
        </w:rPr>
        <w:t>2</w:t>
      </w:r>
      <w:r>
        <w:rPr>
          <w:rFonts w:ascii="Times New Roman" w:hAnsi="Times New Roman" w:eastAsia="黑体" w:cs="Times New Roman"/>
          <w:sz w:val="24"/>
          <w:szCs w:val="24"/>
        </w:rPr>
        <w:t>S</w:t>
      </w:r>
      <w:r>
        <w:rPr>
          <w:rFonts w:hint="eastAsia" w:ascii="Times New Roman" w:hAnsi="Times New Roman" w:eastAsia="黑体" w:cs="Times New Roman"/>
          <w:sz w:val="24"/>
          <w:szCs w:val="24"/>
        </w:rPr>
        <w:t>因子</w:t>
      </w:r>
      <w:r>
        <w:rPr>
          <w:rFonts w:ascii="Times New Roman" w:hAnsi="Times New Roman" w:eastAsia="黑体" w:cs="Times New Roman"/>
          <w:sz w:val="24"/>
          <w:szCs w:val="24"/>
        </w:rPr>
        <w:t>预测结果一览表</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956"/>
        <w:gridCol w:w="831"/>
        <w:gridCol w:w="1185"/>
        <w:gridCol w:w="1868"/>
        <w:gridCol w:w="1379"/>
        <w:gridCol w:w="967"/>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widowControl/>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956"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名称</w:t>
            </w:r>
          </w:p>
        </w:tc>
        <w:tc>
          <w:tcPr>
            <w:tcW w:w="831"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浓度类型</w:t>
            </w:r>
          </w:p>
        </w:tc>
        <w:tc>
          <w:tcPr>
            <w:tcW w:w="1185"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贡献浓度（</w:t>
            </w:r>
            <w:r>
              <w:rPr>
                <w:rFonts w:ascii="Times New Roman" w:hAnsi="Times New Roman" w:eastAsia="宋体" w:cs="Times New Roman"/>
                <w:sz w:val="18"/>
                <w:szCs w:val="18"/>
              </w:rPr>
              <w:t>m</w:t>
            </w:r>
            <w:r>
              <w:rPr>
                <w:rFonts w:ascii="Times New Roman" w:hAnsi="Times New Roman" w:eastAsia="宋体" w:cs="Times New Roman"/>
                <w:kern w:val="0"/>
                <w:sz w:val="18"/>
                <w:szCs w:val="18"/>
              </w:rPr>
              <w:t>g/m</w:t>
            </w:r>
            <w:r>
              <w:rPr>
                <w:rFonts w:ascii="Times New Roman" w:hAnsi="Times New Roman" w:eastAsia="宋体" w:cs="Times New Roman"/>
                <w:kern w:val="0"/>
                <w:sz w:val="18"/>
                <w:szCs w:val="18"/>
                <w:vertAlign w:val="superscript"/>
              </w:rPr>
              <w:t>3</w:t>
            </w:r>
            <w:r>
              <w:rPr>
                <w:rFonts w:ascii="Times New Roman" w:hAnsi="Times New Roman" w:eastAsia="宋体" w:cs="Times New Roman"/>
                <w:kern w:val="0"/>
                <w:sz w:val="18"/>
                <w:szCs w:val="18"/>
              </w:rPr>
              <w:t>）</w:t>
            </w:r>
          </w:p>
        </w:tc>
        <w:tc>
          <w:tcPr>
            <w:tcW w:w="1868"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出现时间（YMMDDHH）</w:t>
            </w:r>
          </w:p>
        </w:tc>
        <w:tc>
          <w:tcPr>
            <w:tcW w:w="1379"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评价标准（</w:t>
            </w:r>
            <w:r>
              <w:rPr>
                <w:rFonts w:ascii="Times New Roman" w:hAnsi="Times New Roman" w:eastAsia="宋体" w:cs="Times New Roman"/>
                <w:sz w:val="18"/>
                <w:szCs w:val="18"/>
              </w:rPr>
              <w:t>m</w:t>
            </w:r>
            <w:r>
              <w:rPr>
                <w:rFonts w:ascii="Times New Roman" w:hAnsi="Times New Roman" w:eastAsia="宋体" w:cs="Times New Roman"/>
                <w:kern w:val="0"/>
                <w:sz w:val="18"/>
                <w:szCs w:val="18"/>
              </w:rPr>
              <w:t>g/m</w:t>
            </w:r>
            <w:r>
              <w:rPr>
                <w:rFonts w:ascii="Times New Roman" w:hAnsi="Times New Roman" w:eastAsia="宋体" w:cs="Times New Roman"/>
                <w:kern w:val="0"/>
                <w:sz w:val="18"/>
                <w:szCs w:val="18"/>
                <w:vertAlign w:val="superscript"/>
              </w:rPr>
              <w:t>3</w:t>
            </w:r>
            <w:r>
              <w:rPr>
                <w:rFonts w:ascii="Times New Roman" w:hAnsi="Times New Roman" w:eastAsia="宋体" w:cs="Times New Roman"/>
                <w:kern w:val="0"/>
                <w:sz w:val="18"/>
                <w:szCs w:val="18"/>
              </w:rPr>
              <w:t>）</w:t>
            </w:r>
          </w:p>
        </w:tc>
        <w:tc>
          <w:tcPr>
            <w:tcW w:w="967"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占标率（%）</w:t>
            </w:r>
          </w:p>
        </w:tc>
        <w:tc>
          <w:tcPr>
            <w:tcW w:w="635"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谷家庄村</w:t>
            </w:r>
          </w:p>
        </w:tc>
        <w:tc>
          <w:tcPr>
            <w:tcW w:w="831"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185"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0.00004</w:t>
            </w:r>
          </w:p>
        </w:tc>
        <w:tc>
          <w:tcPr>
            <w:tcW w:w="1868"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16112423</w:t>
            </w:r>
          </w:p>
        </w:tc>
        <w:tc>
          <w:tcPr>
            <w:tcW w:w="1379"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0.39</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胡乜村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0.00001</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16102922</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0.12</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康呼村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0.00011</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16111723</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1.12</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濮阳职业技术学院</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0.00006</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16031422</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0.57</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后漳消村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0.00018</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16091523</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1.77</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后黄甫村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0.00009</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16120703</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0.94</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7</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前漳消村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0.00003</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16092624</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0.32</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韩庄村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0.00004</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16122603</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0.44</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9</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油坊村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0.00002</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16051320</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张康呼</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0.00004</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16111723</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0.44</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11</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刘康呼</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0.00012</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16110106</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1.24</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蔡王合村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0.00004</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16121903</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0.42</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13</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前皇甫村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0.00007</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16121006</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0.7</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14</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吕家庄村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0.00002</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16112423</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0.23</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杜家庄</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0.00003</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16120405</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0.31</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濮阳世锦园</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0.00016</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16122521</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1.55</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17</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中原绿色庄园</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0.00013</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16121606</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1.27</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18</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濮上园</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0.00003</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16102020</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0.33</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网格(-100,-100)</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0.00159</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16080701</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15.94</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bl>
    <w:p>
      <w:pPr>
        <w:spacing w:line="480" w:lineRule="exact"/>
        <w:ind w:firstLine="480" w:firstLineChars="200"/>
        <w:rPr>
          <w:rFonts w:ascii="Times New Roman" w:hAnsi="Times New Roman" w:eastAsia="宋体"/>
          <w:kern w:val="0"/>
          <w:sz w:val="24"/>
          <w:szCs w:val="24"/>
        </w:rPr>
      </w:pPr>
      <w:r>
        <w:rPr>
          <w:rFonts w:ascii="Times New Roman" w:hAnsi="Times New Roman" w:eastAsia="宋体"/>
          <w:kern w:val="0"/>
          <w:sz w:val="24"/>
          <w:szCs w:val="24"/>
        </w:rPr>
        <w:t>由上表可以看出，评价区域内</w:t>
      </w:r>
      <w:r>
        <w:rPr>
          <w:rFonts w:hint="eastAsia" w:ascii="Times New Roman" w:hAnsi="Times New Roman" w:eastAsia="宋体"/>
          <w:kern w:val="0"/>
          <w:sz w:val="24"/>
          <w:szCs w:val="24"/>
        </w:rPr>
        <w:t>环境敏感点的H</w:t>
      </w:r>
      <w:r>
        <w:rPr>
          <w:rFonts w:ascii="Times New Roman" w:hAnsi="Times New Roman" w:eastAsia="宋体"/>
          <w:kern w:val="0"/>
          <w:sz w:val="24"/>
          <w:szCs w:val="24"/>
          <w:vertAlign w:val="subscript"/>
        </w:rPr>
        <w:t>2</w:t>
      </w:r>
      <w:r>
        <w:rPr>
          <w:rFonts w:ascii="Times New Roman" w:hAnsi="Times New Roman" w:eastAsia="宋体"/>
          <w:kern w:val="0"/>
          <w:sz w:val="24"/>
          <w:szCs w:val="24"/>
        </w:rPr>
        <w:t>S预测结果均未超过环境质量标准限值，网格点预测结果均未超标，不会对周边环境产生影响。其中，各关心点</w:t>
      </w:r>
      <w:r>
        <w:rPr>
          <w:rFonts w:hint="eastAsia" w:ascii="Times New Roman" w:hAnsi="Times New Roman" w:eastAsia="宋体"/>
          <w:kern w:val="0"/>
          <w:sz w:val="24"/>
          <w:szCs w:val="24"/>
        </w:rPr>
        <w:t>H</w:t>
      </w:r>
      <w:r>
        <w:rPr>
          <w:rFonts w:ascii="Times New Roman" w:hAnsi="Times New Roman" w:eastAsia="宋体"/>
          <w:kern w:val="0"/>
          <w:sz w:val="24"/>
          <w:szCs w:val="24"/>
          <w:vertAlign w:val="subscript"/>
        </w:rPr>
        <w:t>2</w:t>
      </w:r>
      <w:r>
        <w:rPr>
          <w:rFonts w:ascii="Times New Roman" w:hAnsi="Times New Roman" w:eastAsia="宋体"/>
          <w:kern w:val="0"/>
          <w:sz w:val="24"/>
          <w:szCs w:val="24"/>
        </w:rPr>
        <w:t>S 1小时</w:t>
      </w:r>
      <w:r>
        <w:rPr>
          <w:rFonts w:hint="eastAsia" w:ascii="Times New Roman" w:hAnsi="Times New Roman" w:eastAsia="宋体"/>
          <w:kern w:val="0"/>
          <w:sz w:val="24"/>
          <w:szCs w:val="24"/>
        </w:rPr>
        <w:t>浓度</w:t>
      </w:r>
      <w:r>
        <w:rPr>
          <w:rFonts w:ascii="Times New Roman" w:hAnsi="Times New Roman" w:eastAsia="宋体"/>
          <w:kern w:val="0"/>
          <w:sz w:val="24"/>
          <w:szCs w:val="24"/>
        </w:rPr>
        <w:t>的最大占标率为1.77%，出现在后漳消村</w:t>
      </w:r>
      <w:r>
        <w:rPr>
          <w:rFonts w:hint="eastAsia" w:ascii="Times New Roman" w:hAnsi="Times New Roman" w:eastAsia="宋体"/>
          <w:kern w:val="0"/>
          <w:sz w:val="24"/>
          <w:szCs w:val="24"/>
        </w:rPr>
        <w:t>。</w:t>
      </w:r>
      <w:r>
        <w:rPr>
          <w:rFonts w:ascii="Times New Roman" w:hAnsi="Times New Roman" w:eastAsia="宋体"/>
          <w:kern w:val="0"/>
          <w:sz w:val="24"/>
          <w:szCs w:val="24"/>
        </w:rPr>
        <w:t>网格点预测结果在（-100，-100）处浓度值最大，小时均值最大占标率</w:t>
      </w:r>
      <w:r>
        <w:rPr>
          <w:rFonts w:hint="eastAsia" w:ascii="Times New Roman" w:hAnsi="Times New Roman" w:eastAsia="宋体"/>
          <w:kern w:val="0"/>
          <w:sz w:val="24"/>
          <w:szCs w:val="24"/>
        </w:rPr>
        <w:t>为</w:t>
      </w:r>
      <w:r>
        <w:rPr>
          <w:rFonts w:ascii="Times New Roman" w:hAnsi="Times New Roman" w:eastAsia="宋体"/>
          <w:kern w:val="0"/>
          <w:sz w:val="24"/>
          <w:szCs w:val="24"/>
        </w:rPr>
        <w:t>15.94%</w:t>
      </w:r>
      <w:r>
        <w:rPr>
          <w:rFonts w:hint="eastAsia" w:ascii="Times New Roman" w:hAnsi="Times New Roman" w:eastAsia="宋体"/>
          <w:kern w:val="0"/>
          <w:sz w:val="24"/>
          <w:szCs w:val="24"/>
        </w:rPr>
        <w:t>。</w:t>
      </w:r>
    </w:p>
    <w:p>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w:t>
      </w:r>
      <w:r>
        <w:rPr>
          <w:rFonts w:ascii="Times New Roman" w:hAnsi="Times New Roman" w:eastAsia="宋体"/>
          <w:kern w:val="0"/>
          <w:sz w:val="24"/>
          <w:szCs w:val="24"/>
        </w:rPr>
        <w:t>6）NH</w:t>
      </w:r>
      <w:r>
        <w:rPr>
          <w:rFonts w:ascii="Times New Roman" w:hAnsi="Times New Roman" w:eastAsia="宋体"/>
          <w:kern w:val="0"/>
          <w:sz w:val="24"/>
          <w:szCs w:val="24"/>
          <w:vertAlign w:val="subscript"/>
        </w:rPr>
        <w:t>3</w:t>
      </w:r>
      <w:r>
        <w:rPr>
          <w:rFonts w:hint="eastAsia" w:ascii="Times New Roman" w:hAnsi="Times New Roman" w:eastAsia="宋体"/>
          <w:kern w:val="0"/>
          <w:sz w:val="24"/>
          <w:szCs w:val="24"/>
        </w:rPr>
        <w:t>预测结果及评价</w:t>
      </w:r>
    </w:p>
    <w:p>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本项目</w:t>
      </w:r>
      <w:r>
        <w:rPr>
          <w:rFonts w:ascii="Times New Roman" w:hAnsi="Times New Roman" w:eastAsia="宋体"/>
          <w:kern w:val="0"/>
          <w:sz w:val="24"/>
          <w:szCs w:val="24"/>
        </w:rPr>
        <w:t>NH</w:t>
      </w:r>
      <w:r>
        <w:rPr>
          <w:rFonts w:ascii="Times New Roman" w:hAnsi="Times New Roman" w:eastAsia="宋体"/>
          <w:kern w:val="0"/>
          <w:sz w:val="24"/>
          <w:szCs w:val="24"/>
          <w:vertAlign w:val="subscript"/>
        </w:rPr>
        <w:t>3</w:t>
      </w:r>
      <w:r>
        <w:rPr>
          <w:rFonts w:hint="eastAsia" w:ascii="Times New Roman" w:hAnsi="Times New Roman" w:eastAsia="宋体"/>
          <w:kern w:val="0"/>
          <w:sz w:val="24"/>
          <w:szCs w:val="24"/>
        </w:rPr>
        <w:t>预测结果见下表。</w:t>
      </w:r>
    </w:p>
    <w:p>
      <w:pPr>
        <w:spacing w:line="48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表</w:t>
      </w:r>
      <w:r>
        <w:rPr>
          <w:rFonts w:ascii="Times New Roman" w:hAnsi="Times New Roman" w:eastAsia="黑体" w:cs="Times New Roman"/>
          <w:sz w:val="24"/>
          <w:szCs w:val="24"/>
        </w:rPr>
        <w:t>4.1-11</w:t>
      </w:r>
      <w:r>
        <w:rPr>
          <w:rFonts w:hint="eastAsia" w:ascii="Times New Roman" w:hAnsi="Times New Roman" w:eastAsia="黑体" w:cs="Times New Roman"/>
          <w:sz w:val="24"/>
          <w:szCs w:val="24"/>
        </w:rPr>
        <w:t xml:space="preserve">          本项目</w:t>
      </w:r>
      <w:r>
        <w:rPr>
          <w:rFonts w:ascii="Times New Roman" w:hAnsi="Times New Roman" w:eastAsia="黑体" w:cs="Times New Roman"/>
          <w:sz w:val="24"/>
          <w:szCs w:val="24"/>
        </w:rPr>
        <w:t>NH</w:t>
      </w:r>
      <w:r>
        <w:rPr>
          <w:rFonts w:ascii="Times New Roman" w:hAnsi="Times New Roman" w:eastAsia="黑体" w:cs="Times New Roman"/>
          <w:sz w:val="24"/>
          <w:szCs w:val="24"/>
          <w:vertAlign w:val="subscript"/>
        </w:rPr>
        <w:t>3</w:t>
      </w:r>
      <w:r>
        <w:rPr>
          <w:rFonts w:hint="eastAsia" w:ascii="Times New Roman" w:hAnsi="Times New Roman" w:eastAsia="黑体" w:cs="Times New Roman"/>
          <w:sz w:val="24"/>
          <w:szCs w:val="24"/>
        </w:rPr>
        <w:t>因子</w:t>
      </w:r>
      <w:r>
        <w:rPr>
          <w:rFonts w:ascii="Times New Roman" w:hAnsi="Times New Roman" w:eastAsia="黑体" w:cs="Times New Roman"/>
          <w:sz w:val="24"/>
          <w:szCs w:val="24"/>
        </w:rPr>
        <w:t>预测结果一览表</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956"/>
        <w:gridCol w:w="831"/>
        <w:gridCol w:w="1185"/>
        <w:gridCol w:w="1868"/>
        <w:gridCol w:w="1379"/>
        <w:gridCol w:w="967"/>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widowControl/>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956"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名称</w:t>
            </w:r>
          </w:p>
        </w:tc>
        <w:tc>
          <w:tcPr>
            <w:tcW w:w="831"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浓度类型</w:t>
            </w:r>
          </w:p>
        </w:tc>
        <w:tc>
          <w:tcPr>
            <w:tcW w:w="1185"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贡献浓度（</w:t>
            </w:r>
            <w:r>
              <w:rPr>
                <w:rFonts w:ascii="Times New Roman" w:hAnsi="Times New Roman" w:eastAsia="宋体" w:cs="Times New Roman"/>
                <w:sz w:val="18"/>
                <w:szCs w:val="18"/>
              </w:rPr>
              <w:t>m</w:t>
            </w:r>
            <w:r>
              <w:rPr>
                <w:rFonts w:ascii="Times New Roman" w:hAnsi="Times New Roman" w:eastAsia="宋体" w:cs="Times New Roman"/>
                <w:kern w:val="0"/>
                <w:sz w:val="18"/>
                <w:szCs w:val="18"/>
              </w:rPr>
              <w:t>g/m</w:t>
            </w:r>
            <w:r>
              <w:rPr>
                <w:rFonts w:ascii="Times New Roman" w:hAnsi="Times New Roman" w:eastAsia="宋体" w:cs="Times New Roman"/>
                <w:kern w:val="0"/>
                <w:sz w:val="18"/>
                <w:szCs w:val="18"/>
                <w:vertAlign w:val="superscript"/>
              </w:rPr>
              <w:t>3</w:t>
            </w:r>
            <w:r>
              <w:rPr>
                <w:rFonts w:ascii="Times New Roman" w:hAnsi="Times New Roman" w:eastAsia="宋体" w:cs="Times New Roman"/>
                <w:kern w:val="0"/>
                <w:sz w:val="18"/>
                <w:szCs w:val="18"/>
              </w:rPr>
              <w:t>）</w:t>
            </w:r>
          </w:p>
        </w:tc>
        <w:tc>
          <w:tcPr>
            <w:tcW w:w="1868"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出现时间（YMMDDHH）</w:t>
            </w:r>
          </w:p>
        </w:tc>
        <w:tc>
          <w:tcPr>
            <w:tcW w:w="1379"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评价标准（</w:t>
            </w:r>
            <w:r>
              <w:rPr>
                <w:rFonts w:ascii="Times New Roman" w:hAnsi="Times New Roman" w:eastAsia="宋体" w:cs="Times New Roman"/>
                <w:sz w:val="18"/>
                <w:szCs w:val="18"/>
              </w:rPr>
              <w:t>m</w:t>
            </w:r>
            <w:r>
              <w:rPr>
                <w:rFonts w:ascii="Times New Roman" w:hAnsi="Times New Roman" w:eastAsia="宋体" w:cs="Times New Roman"/>
                <w:kern w:val="0"/>
                <w:sz w:val="18"/>
                <w:szCs w:val="18"/>
              </w:rPr>
              <w:t>g/m</w:t>
            </w:r>
            <w:r>
              <w:rPr>
                <w:rFonts w:ascii="Times New Roman" w:hAnsi="Times New Roman" w:eastAsia="宋体" w:cs="Times New Roman"/>
                <w:kern w:val="0"/>
                <w:sz w:val="18"/>
                <w:szCs w:val="18"/>
                <w:vertAlign w:val="superscript"/>
              </w:rPr>
              <w:t>3</w:t>
            </w:r>
            <w:r>
              <w:rPr>
                <w:rFonts w:ascii="Times New Roman" w:hAnsi="Times New Roman" w:eastAsia="宋体" w:cs="Times New Roman"/>
                <w:kern w:val="0"/>
                <w:sz w:val="18"/>
                <w:szCs w:val="18"/>
              </w:rPr>
              <w:t>）</w:t>
            </w:r>
          </w:p>
        </w:tc>
        <w:tc>
          <w:tcPr>
            <w:tcW w:w="967"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占标率（%）</w:t>
            </w:r>
          </w:p>
        </w:tc>
        <w:tc>
          <w:tcPr>
            <w:tcW w:w="635"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谷家庄村</w:t>
            </w:r>
          </w:p>
        </w:tc>
        <w:tc>
          <w:tcPr>
            <w:tcW w:w="831"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185"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0.00083</w:t>
            </w:r>
          </w:p>
        </w:tc>
        <w:tc>
          <w:tcPr>
            <w:tcW w:w="1868"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16112423</w:t>
            </w:r>
          </w:p>
        </w:tc>
        <w:tc>
          <w:tcPr>
            <w:tcW w:w="1379"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0.2</w:t>
            </w:r>
          </w:p>
        </w:tc>
        <w:tc>
          <w:tcPr>
            <w:tcW w:w="967"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0.42</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胡乜村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0.00026</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16102922</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0.13</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康呼村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0.00241</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16111723</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濮阳职业技术学院</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0.00121</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16031422</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0.61</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后漳消村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0.00379</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16091523</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1.89</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后黄甫村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0.00202</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16120703</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1.01</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7</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前漳消村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0.00069</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16092624</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0.34</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韩庄村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0.00094</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16122603</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0.47</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9</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油坊村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0.00044</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16051320</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0.22</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张康呼</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0.00094</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16111723</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0.47</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11</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刘康呼</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0.00265</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16110106</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1.32</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蔡王合村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0.00091</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16121903</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0.45</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13</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前皇甫村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0.00149</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16121006</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0.75</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14</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吕家庄村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0.00049</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16112423</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0.24</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杜家庄</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0.00066</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16120405</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0.33</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濮阳世锦园</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0.00333</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16122521</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1.66</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17</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中原绿色庄园</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0.00271</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16121606</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1.36</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18</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濮上园</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0.00072</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16102020</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0.36</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网格(-100,-100)</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0.03420</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16080701</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17.08</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bl>
    <w:p>
      <w:pPr>
        <w:spacing w:line="480" w:lineRule="exact"/>
        <w:ind w:firstLine="480" w:firstLineChars="200"/>
        <w:rPr>
          <w:rFonts w:ascii="Times New Roman" w:hAnsi="Times New Roman" w:eastAsia="宋体"/>
          <w:kern w:val="0"/>
          <w:sz w:val="24"/>
          <w:szCs w:val="24"/>
        </w:rPr>
      </w:pPr>
      <w:r>
        <w:rPr>
          <w:rFonts w:ascii="Times New Roman" w:hAnsi="Times New Roman" w:eastAsia="宋体"/>
          <w:kern w:val="0"/>
          <w:sz w:val="24"/>
          <w:szCs w:val="24"/>
        </w:rPr>
        <w:t>由</w:t>
      </w:r>
      <w:r>
        <w:rPr>
          <w:rFonts w:hint="eastAsia" w:ascii="Times New Roman" w:hAnsi="Times New Roman" w:eastAsia="宋体"/>
          <w:kern w:val="0"/>
          <w:sz w:val="24"/>
          <w:szCs w:val="24"/>
        </w:rPr>
        <w:t>上</w:t>
      </w:r>
      <w:r>
        <w:rPr>
          <w:rFonts w:ascii="Times New Roman" w:hAnsi="Times New Roman" w:eastAsia="宋体"/>
          <w:kern w:val="0"/>
          <w:sz w:val="24"/>
          <w:szCs w:val="24"/>
        </w:rPr>
        <w:t>表可以看出，评价区域内</w:t>
      </w:r>
      <w:r>
        <w:rPr>
          <w:rFonts w:hint="eastAsia" w:ascii="Times New Roman" w:hAnsi="Times New Roman" w:eastAsia="宋体"/>
          <w:kern w:val="0"/>
          <w:sz w:val="24"/>
          <w:szCs w:val="24"/>
        </w:rPr>
        <w:t>环境敏感点的</w:t>
      </w:r>
      <w:r>
        <w:rPr>
          <w:rFonts w:ascii="Times New Roman" w:hAnsi="Times New Roman" w:eastAsia="宋体"/>
          <w:kern w:val="0"/>
          <w:sz w:val="24"/>
          <w:szCs w:val="24"/>
        </w:rPr>
        <w:t>NH</w:t>
      </w:r>
      <w:r>
        <w:rPr>
          <w:rFonts w:ascii="Times New Roman" w:hAnsi="Times New Roman" w:eastAsia="宋体"/>
          <w:kern w:val="0"/>
          <w:sz w:val="24"/>
          <w:szCs w:val="24"/>
          <w:vertAlign w:val="subscript"/>
        </w:rPr>
        <w:t>3</w:t>
      </w:r>
      <w:r>
        <w:rPr>
          <w:rFonts w:ascii="Times New Roman" w:hAnsi="Times New Roman" w:eastAsia="宋体"/>
          <w:kern w:val="0"/>
          <w:sz w:val="24"/>
          <w:szCs w:val="24"/>
        </w:rPr>
        <w:t>预测结果均未超过环境质量标准限值，各关心点1小时</w:t>
      </w:r>
      <w:r>
        <w:rPr>
          <w:rFonts w:hint="eastAsia" w:ascii="Times New Roman" w:hAnsi="Times New Roman" w:eastAsia="宋体"/>
          <w:kern w:val="0"/>
          <w:sz w:val="24"/>
          <w:szCs w:val="24"/>
        </w:rPr>
        <w:t>浓度</w:t>
      </w:r>
      <w:r>
        <w:rPr>
          <w:rFonts w:ascii="Times New Roman" w:hAnsi="Times New Roman" w:eastAsia="宋体"/>
          <w:kern w:val="0"/>
          <w:sz w:val="24"/>
          <w:szCs w:val="24"/>
        </w:rPr>
        <w:t>最大占标率为1.89%。</w:t>
      </w:r>
      <w:r>
        <w:rPr>
          <w:rFonts w:hint="eastAsia" w:ascii="Times New Roman" w:hAnsi="Times New Roman" w:eastAsia="宋体"/>
          <w:kern w:val="0"/>
          <w:sz w:val="24"/>
          <w:szCs w:val="24"/>
        </w:rPr>
        <w:t>出现在</w:t>
      </w:r>
      <w:r>
        <w:rPr>
          <w:rFonts w:ascii="Times New Roman" w:hAnsi="Times New Roman" w:eastAsia="宋体"/>
          <w:kern w:val="0"/>
          <w:sz w:val="24"/>
          <w:szCs w:val="24"/>
        </w:rPr>
        <w:t>后漳消村</w:t>
      </w:r>
      <w:r>
        <w:rPr>
          <w:rFonts w:hint="eastAsia" w:ascii="Times New Roman" w:hAnsi="Times New Roman" w:eastAsia="宋体"/>
          <w:kern w:val="0"/>
          <w:sz w:val="24"/>
          <w:szCs w:val="24"/>
        </w:rPr>
        <w:t>，</w:t>
      </w:r>
      <w:r>
        <w:rPr>
          <w:rFonts w:ascii="Times New Roman" w:hAnsi="Times New Roman" w:eastAsia="宋体"/>
          <w:kern w:val="0"/>
          <w:sz w:val="24"/>
          <w:szCs w:val="24"/>
        </w:rPr>
        <w:t>网格点预测结果在（-100，-100）处浓度值最大，最大占标率为17.08%。</w:t>
      </w:r>
    </w:p>
    <w:p>
      <w:pPr>
        <w:pStyle w:val="33"/>
        <w:rPr>
          <w:color w:val="auto"/>
        </w:rPr>
      </w:pPr>
      <w:r>
        <w:rPr>
          <w:rFonts w:hint="eastAsia"/>
          <w:color w:val="auto"/>
        </w:rPr>
        <w:t>4.1.8.2非正常工况下影响预测</w:t>
      </w:r>
    </w:p>
    <w:p>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非正常工况下</w:t>
      </w:r>
      <w:r>
        <w:rPr>
          <w:rFonts w:ascii="Times New Roman" w:hAnsi="Times New Roman" w:eastAsia="宋体"/>
          <w:kern w:val="0"/>
          <w:sz w:val="24"/>
          <w:szCs w:val="24"/>
        </w:rPr>
        <w:t>主要</w:t>
      </w:r>
      <w:r>
        <w:rPr>
          <w:rFonts w:hint="eastAsia" w:ascii="Times New Roman" w:hAnsi="Times New Roman" w:eastAsia="宋体"/>
          <w:kern w:val="0"/>
          <w:sz w:val="24"/>
          <w:szCs w:val="24"/>
        </w:rPr>
        <w:t>涉及非甲烷总烃</w:t>
      </w:r>
      <w:r>
        <w:rPr>
          <w:rFonts w:ascii="Times New Roman" w:hAnsi="Times New Roman" w:eastAsia="宋体"/>
          <w:kern w:val="0"/>
          <w:sz w:val="24"/>
          <w:szCs w:val="24"/>
        </w:rPr>
        <w:t>和</w:t>
      </w:r>
      <w:r>
        <w:rPr>
          <w:rFonts w:hint="eastAsia" w:ascii="Times New Roman" w:hAnsi="Times New Roman" w:eastAsia="宋体"/>
          <w:kern w:val="0"/>
          <w:sz w:val="24"/>
          <w:szCs w:val="24"/>
        </w:rPr>
        <w:t>H</w:t>
      </w:r>
      <w:r>
        <w:rPr>
          <w:rFonts w:hint="eastAsia" w:ascii="Times New Roman" w:hAnsi="Times New Roman" w:eastAsia="宋体"/>
          <w:kern w:val="0"/>
          <w:sz w:val="24"/>
          <w:szCs w:val="24"/>
          <w:vertAlign w:val="subscript"/>
        </w:rPr>
        <w:t>2</w:t>
      </w:r>
      <w:r>
        <w:rPr>
          <w:rFonts w:hint="eastAsia" w:ascii="Times New Roman" w:hAnsi="Times New Roman" w:eastAsia="宋体"/>
          <w:kern w:val="0"/>
          <w:sz w:val="24"/>
          <w:szCs w:val="24"/>
        </w:rPr>
        <w:t>S的排放</w:t>
      </w:r>
      <w:r>
        <w:rPr>
          <w:rFonts w:ascii="Times New Roman" w:hAnsi="Times New Roman" w:eastAsia="宋体"/>
          <w:kern w:val="0"/>
          <w:sz w:val="24"/>
          <w:szCs w:val="24"/>
        </w:rPr>
        <w:t>，非正常工况下</w:t>
      </w:r>
      <w:r>
        <w:rPr>
          <w:rFonts w:hint="eastAsia" w:ascii="Times New Roman" w:hAnsi="Times New Roman" w:eastAsia="宋体"/>
          <w:kern w:val="0"/>
          <w:sz w:val="24"/>
          <w:szCs w:val="24"/>
        </w:rPr>
        <w:t>非甲烷总烃</w:t>
      </w:r>
      <w:r>
        <w:rPr>
          <w:rFonts w:ascii="Times New Roman" w:hAnsi="Times New Roman" w:eastAsia="宋体"/>
          <w:kern w:val="0"/>
          <w:sz w:val="24"/>
          <w:szCs w:val="24"/>
        </w:rPr>
        <w:t>和</w:t>
      </w:r>
      <w:r>
        <w:rPr>
          <w:rFonts w:hint="eastAsia" w:ascii="Times New Roman" w:hAnsi="Times New Roman" w:eastAsia="宋体"/>
          <w:kern w:val="0"/>
          <w:sz w:val="24"/>
          <w:szCs w:val="24"/>
        </w:rPr>
        <w:t>H2S的</w:t>
      </w:r>
      <w:r>
        <w:rPr>
          <w:rFonts w:ascii="Times New Roman" w:hAnsi="Times New Roman" w:eastAsia="宋体"/>
          <w:kern w:val="0"/>
          <w:sz w:val="24"/>
          <w:szCs w:val="24"/>
        </w:rPr>
        <w:t>预测结果</w:t>
      </w:r>
      <w:r>
        <w:rPr>
          <w:rFonts w:hint="eastAsia" w:ascii="Times New Roman" w:hAnsi="Times New Roman" w:eastAsia="宋体"/>
          <w:kern w:val="0"/>
          <w:sz w:val="24"/>
          <w:szCs w:val="24"/>
        </w:rPr>
        <w:t>分别</w:t>
      </w:r>
      <w:r>
        <w:rPr>
          <w:rFonts w:ascii="Times New Roman" w:hAnsi="Times New Roman" w:eastAsia="宋体"/>
          <w:kern w:val="0"/>
          <w:sz w:val="24"/>
          <w:szCs w:val="24"/>
        </w:rPr>
        <w:t>见表4.1-12</w:t>
      </w:r>
      <w:r>
        <w:rPr>
          <w:rFonts w:hint="eastAsia" w:ascii="Times New Roman" w:hAnsi="Times New Roman" w:eastAsia="宋体"/>
          <w:kern w:val="0"/>
          <w:sz w:val="24"/>
          <w:szCs w:val="24"/>
        </w:rPr>
        <w:t>和</w:t>
      </w:r>
      <w:r>
        <w:rPr>
          <w:rFonts w:ascii="Times New Roman" w:hAnsi="Times New Roman" w:eastAsia="宋体"/>
          <w:kern w:val="0"/>
          <w:sz w:val="24"/>
          <w:szCs w:val="24"/>
        </w:rPr>
        <w:t>4.1-13</w:t>
      </w:r>
      <w:r>
        <w:rPr>
          <w:rFonts w:hint="eastAsia" w:ascii="Times New Roman" w:hAnsi="Times New Roman" w:eastAsia="宋体"/>
          <w:kern w:val="0"/>
          <w:sz w:val="24"/>
          <w:szCs w:val="24"/>
        </w:rPr>
        <w:t>。</w:t>
      </w:r>
    </w:p>
    <w:p>
      <w:pPr>
        <w:spacing w:line="48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表</w:t>
      </w:r>
      <w:r>
        <w:rPr>
          <w:rFonts w:ascii="Times New Roman" w:hAnsi="Times New Roman" w:eastAsia="黑体" w:cs="Times New Roman"/>
          <w:sz w:val="24"/>
          <w:szCs w:val="24"/>
        </w:rPr>
        <w:t>4.1-12</w:t>
      </w:r>
      <w:r>
        <w:rPr>
          <w:rFonts w:hint="eastAsia" w:ascii="Times New Roman" w:hAnsi="Times New Roman" w:eastAsia="黑体" w:cs="Times New Roman"/>
          <w:sz w:val="24"/>
          <w:szCs w:val="24"/>
        </w:rPr>
        <w:t xml:space="preserve">     非正常工况</w:t>
      </w:r>
      <w:r>
        <w:rPr>
          <w:rFonts w:ascii="Times New Roman" w:hAnsi="Times New Roman" w:eastAsia="黑体" w:cs="Times New Roman"/>
          <w:sz w:val="24"/>
          <w:szCs w:val="24"/>
        </w:rPr>
        <w:t>下</w:t>
      </w:r>
      <w:r>
        <w:rPr>
          <w:rFonts w:hint="eastAsia" w:ascii="Times New Roman" w:hAnsi="Times New Roman" w:eastAsia="黑体" w:cs="Times New Roman"/>
          <w:sz w:val="24"/>
          <w:szCs w:val="24"/>
        </w:rPr>
        <w:t>非甲烷总烃浓度预测</w:t>
      </w:r>
      <w:r>
        <w:rPr>
          <w:rFonts w:ascii="Times New Roman" w:hAnsi="Times New Roman" w:eastAsia="黑体" w:cs="Times New Roman"/>
          <w:sz w:val="24"/>
          <w:szCs w:val="24"/>
        </w:rPr>
        <w:t>结果一览</w:t>
      </w:r>
      <w:r>
        <w:rPr>
          <w:rFonts w:hint="eastAsia" w:ascii="Times New Roman" w:hAnsi="Times New Roman" w:eastAsia="黑体" w:cs="Times New Roman"/>
          <w:sz w:val="24"/>
          <w:szCs w:val="24"/>
        </w:rPr>
        <w:t>表</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956"/>
        <w:gridCol w:w="831"/>
        <w:gridCol w:w="1185"/>
        <w:gridCol w:w="1868"/>
        <w:gridCol w:w="1379"/>
        <w:gridCol w:w="967"/>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widowControl/>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956"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名称</w:t>
            </w:r>
          </w:p>
        </w:tc>
        <w:tc>
          <w:tcPr>
            <w:tcW w:w="831"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浓度类型</w:t>
            </w:r>
          </w:p>
        </w:tc>
        <w:tc>
          <w:tcPr>
            <w:tcW w:w="1185"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贡献浓度（</w:t>
            </w:r>
            <w:r>
              <w:rPr>
                <w:rFonts w:ascii="Times New Roman" w:hAnsi="Times New Roman" w:eastAsia="宋体" w:cs="Times New Roman"/>
                <w:sz w:val="18"/>
                <w:szCs w:val="18"/>
              </w:rPr>
              <w:t>m</w:t>
            </w:r>
            <w:r>
              <w:rPr>
                <w:rFonts w:ascii="Times New Roman" w:hAnsi="Times New Roman" w:eastAsia="宋体" w:cs="Times New Roman"/>
                <w:kern w:val="0"/>
                <w:sz w:val="18"/>
                <w:szCs w:val="18"/>
              </w:rPr>
              <w:t>g/m</w:t>
            </w:r>
            <w:r>
              <w:rPr>
                <w:rFonts w:ascii="Times New Roman" w:hAnsi="Times New Roman" w:eastAsia="宋体" w:cs="Times New Roman"/>
                <w:kern w:val="0"/>
                <w:sz w:val="18"/>
                <w:szCs w:val="18"/>
                <w:vertAlign w:val="superscript"/>
              </w:rPr>
              <w:t>3</w:t>
            </w:r>
            <w:r>
              <w:rPr>
                <w:rFonts w:ascii="Times New Roman" w:hAnsi="Times New Roman" w:eastAsia="宋体" w:cs="Times New Roman"/>
                <w:kern w:val="0"/>
                <w:sz w:val="18"/>
                <w:szCs w:val="18"/>
              </w:rPr>
              <w:t>）</w:t>
            </w:r>
          </w:p>
        </w:tc>
        <w:tc>
          <w:tcPr>
            <w:tcW w:w="1868"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出现时间（YMMDDHH）</w:t>
            </w:r>
          </w:p>
        </w:tc>
        <w:tc>
          <w:tcPr>
            <w:tcW w:w="1379"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评价标准（</w:t>
            </w:r>
            <w:r>
              <w:rPr>
                <w:rFonts w:ascii="Times New Roman" w:hAnsi="Times New Roman" w:eastAsia="宋体" w:cs="Times New Roman"/>
                <w:sz w:val="18"/>
                <w:szCs w:val="18"/>
              </w:rPr>
              <w:t>m</w:t>
            </w:r>
            <w:r>
              <w:rPr>
                <w:rFonts w:ascii="Times New Roman" w:hAnsi="Times New Roman" w:eastAsia="宋体" w:cs="Times New Roman"/>
                <w:kern w:val="0"/>
                <w:sz w:val="18"/>
                <w:szCs w:val="18"/>
              </w:rPr>
              <w:t>g/m</w:t>
            </w:r>
            <w:r>
              <w:rPr>
                <w:rFonts w:ascii="Times New Roman" w:hAnsi="Times New Roman" w:eastAsia="宋体" w:cs="Times New Roman"/>
                <w:kern w:val="0"/>
                <w:sz w:val="18"/>
                <w:szCs w:val="18"/>
                <w:vertAlign w:val="superscript"/>
              </w:rPr>
              <w:t>3</w:t>
            </w:r>
            <w:r>
              <w:rPr>
                <w:rFonts w:ascii="Times New Roman" w:hAnsi="Times New Roman" w:eastAsia="宋体" w:cs="Times New Roman"/>
                <w:kern w:val="0"/>
                <w:sz w:val="18"/>
                <w:szCs w:val="18"/>
              </w:rPr>
              <w:t>）</w:t>
            </w:r>
          </w:p>
        </w:tc>
        <w:tc>
          <w:tcPr>
            <w:tcW w:w="967"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占标率（%）</w:t>
            </w:r>
          </w:p>
        </w:tc>
        <w:tc>
          <w:tcPr>
            <w:tcW w:w="635"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谷家庄村</w:t>
            </w:r>
          </w:p>
        </w:tc>
        <w:tc>
          <w:tcPr>
            <w:tcW w:w="831"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185"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0.101</w:t>
            </w:r>
          </w:p>
        </w:tc>
        <w:tc>
          <w:tcPr>
            <w:tcW w:w="1868"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16062106</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5.06</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胡乜村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0.110</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16083024</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5.52</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康呼村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0.123</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16082804</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6.15</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濮阳职业技术学院</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0.395</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16032608</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19.77</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后漳消村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0.108</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16081701</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5.42</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后黄甫村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0.286</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16012010</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14.29</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7</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前漳消村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0.113</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16062204</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5.66</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韩庄村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0.076</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16122603</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3.79</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9</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油坊村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0.096</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16082703</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4.8</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张康呼</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0.098</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16080204</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4.89</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11</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刘康呼</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0.128</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16060706</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6.42</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蔡王合村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0.096</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16113008</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4.78</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13</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前皇甫村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0.118</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16080222</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5.92</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14</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吕家庄村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0.099</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16082719</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4.93</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杜家庄</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0.107</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16082719</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5.33</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濮阳世锦园</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0.213</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16052007</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10.64</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17</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中原绿色庄园</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0.162</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16042407</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8.12</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18</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濮上园</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0.112</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16073107</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5.61</w:t>
            </w:r>
          </w:p>
        </w:tc>
        <w:tc>
          <w:tcPr>
            <w:tcW w:w="635"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网格(-100,100)</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2.250</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16032608</w:t>
            </w:r>
          </w:p>
        </w:tc>
        <w:tc>
          <w:tcPr>
            <w:tcW w:w="1379"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112.53</w:t>
            </w:r>
          </w:p>
        </w:tc>
        <w:tc>
          <w:tcPr>
            <w:tcW w:w="635" w:type="dxa"/>
            <w:vAlign w:val="center"/>
          </w:tcPr>
          <w:p>
            <w:pPr>
              <w:spacing w:line="24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超</w:t>
            </w:r>
            <w:r>
              <w:rPr>
                <w:rFonts w:ascii="Times New Roman" w:hAnsi="Times New Roman" w:eastAsia="宋体" w:cs="Times New Roman"/>
                <w:sz w:val="18"/>
                <w:szCs w:val="18"/>
              </w:rPr>
              <w:t>标</w:t>
            </w:r>
          </w:p>
        </w:tc>
      </w:tr>
    </w:tbl>
    <w:p>
      <w:pPr>
        <w:spacing w:line="48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表</w:t>
      </w:r>
      <w:r>
        <w:rPr>
          <w:rFonts w:ascii="Times New Roman" w:hAnsi="Times New Roman" w:eastAsia="黑体" w:cs="Times New Roman"/>
          <w:sz w:val="24"/>
          <w:szCs w:val="24"/>
        </w:rPr>
        <w:t>4.1-13</w:t>
      </w:r>
      <w:r>
        <w:rPr>
          <w:rFonts w:hint="eastAsia" w:ascii="Times New Roman" w:hAnsi="Times New Roman" w:eastAsia="黑体" w:cs="Times New Roman"/>
          <w:sz w:val="24"/>
          <w:szCs w:val="24"/>
        </w:rPr>
        <w:t xml:space="preserve">      非正常工况</w:t>
      </w:r>
      <w:r>
        <w:rPr>
          <w:rFonts w:ascii="Times New Roman" w:hAnsi="Times New Roman" w:eastAsia="黑体" w:cs="Times New Roman"/>
          <w:sz w:val="24"/>
          <w:szCs w:val="24"/>
        </w:rPr>
        <w:t>下</w:t>
      </w:r>
      <w:r>
        <w:rPr>
          <w:rFonts w:hint="eastAsia" w:ascii="Times New Roman" w:hAnsi="Times New Roman" w:eastAsia="黑体" w:cs="Times New Roman"/>
          <w:sz w:val="24"/>
          <w:szCs w:val="24"/>
        </w:rPr>
        <w:t>H</w:t>
      </w:r>
      <w:r>
        <w:rPr>
          <w:rFonts w:hint="eastAsia" w:ascii="Times New Roman" w:hAnsi="Times New Roman" w:eastAsia="黑体" w:cs="Times New Roman"/>
          <w:sz w:val="24"/>
          <w:szCs w:val="24"/>
          <w:vertAlign w:val="subscript"/>
        </w:rPr>
        <w:t>2</w:t>
      </w:r>
      <w:r>
        <w:rPr>
          <w:rFonts w:hint="eastAsia" w:ascii="Times New Roman" w:hAnsi="Times New Roman" w:eastAsia="黑体" w:cs="Times New Roman"/>
          <w:sz w:val="24"/>
          <w:szCs w:val="24"/>
        </w:rPr>
        <w:t>S浓度预测</w:t>
      </w:r>
      <w:r>
        <w:rPr>
          <w:rFonts w:ascii="Times New Roman" w:hAnsi="Times New Roman" w:eastAsia="黑体" w:cs="Times New Roman"/>
          <w:sz w:val="24"/>
          <w:szCs w:val="24"/>
        </w:rPr>
        <w:t>结果一览表</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956"/>
        <w:gridCol w:w="831"/>
        <w:gridCol w:w="1185"/>
        <w:gridCol w:w="1868"/>
        <w:gridCol w:w="1379"/>
        <w:gridCol w:w="967"/>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widowControl/>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956"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名称</w:t>
            </w:r>
          </w:p>
        </w:tc>
        <w:tc>
          <w:tcPr>
            <w:tcW w:w="831"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浓度类型</w:t>
            </w:r>
          </w:p>
        </w:tc>
        <w:tc>
          <w:tcPr>
            <w:tcW w:w="1185"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贡献浓度（</w:t>
            </w:r>
            <w:r>
              <w:rPr>
                <w:rFonts w:ascii="Times New Roman" w:hAnsi="Times New Roman" w:eastAsia="宋体" w:cs="Times New Roman"/>
                <w:sz w:val="18"/>
                <w:szCs w:val="18"/>
              </w:rPr>
              <w:t>m</w:t>
            </w:r>
            <w:r>
              <w:rPr>
                <w:rFonts w:ascii="Times New Roman" w:hAnsi="Times New Roman" w:eastAsia="宋体" w:cs="Times New Roman"/>
                <w:kern w:val="0"/>
                <w:sz w:val="18"/>
                <w:szCs w:val="18"/>
              </w:rPr>
              <w:t>g/m</w:t>
            </w:r>
            <w:r>
              <w:rPr>
                <w:rFonts w:ascii="Times New Roman" w:hAnsi="Times New Roman" w:eastAsia="宋体" w:cs="Times New Roman"/>
                <w:kern w:val="0"/>
                <w:sz w:val="18"/>
                <w:szCs w:val="18"/>
                <w:vertAlign w:val="superscript"/>
              </w:rPr>
              <w:t>3</w:t>
            </w:r>
            <w:r>
              <w:rPr>
                <w:rFonts w:ascii="Times New Roman" w:hAnsi="Times New Roman" w:eastAsia="宋体" w:cs="Times New Roman"/>
                <w:kern w:val="0"/>
                <w:sz w:val="18"/>
                <w:szCs w:val="18"/>
              </w:rPr>
              <w:t>）</w:t>
            </w:r>
          </w:p>
        </w:tc>
        <w:tc>
          <w:tcPr>
            <w:tcW w:w="1868"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出现时间（YMMDDHH）</w:t>
            </w:r>
          </w:p>
        </w:tc>
        <w:tc>
          <w:tcPr>
            <w:tcW w:w="1379"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评价标准（</w:t>
            </w:r>
            <w:r>
              <w:rPr>
                <w:rFonts w:ascii="Times New Roman" w:hAnsi="Times New Roman" w:eastAsia="宋体" w:cs="Times New Roman"/>
                <w:sz w:val="18"/>
                <w:szCs w:val="18"/>
              </w:rPr>
              <w:t>m</w:t>
            </w:r>
            <w:r>
              <w:rPr>
                <w:rFonts w:ascii="Times New Roman" w:hAnsi="Times New Roman" w:eastAsia="宋体" w:cs="Times New Roman"/>
                <w:kern w:val="0"/>
                <w:sz w:val="18"/>
                <w:szCs w:val="18"/>
              </w:rPr>
              <w:t>g/m</w:t>
            </w:r>
            <w:r>
              <w:rPr>
                <w:rFonts w:ascii="Times New Roman" w:hAnsi="Times New Roman" w:eastAsia="宋体" w:cs="Times New Roman"/>
                <w:kern w:val="0"/>
                <w:sz w:val="18"/>
                <w:szCs w:val="18"/>
                <w:vertAlign w:val="superscript"/>
              </w:rPr>
              <w:t>3</w:t>
            </w:r>
            <w:r>
              <w:rPr>
                <w:rFonts w:ascii="Times New Roman" w:hAnsi="Times New Roman" w:eastAsia="宋体" w:cs="Times New Roman"/>
                <w:kern w:val="0"/>
                <w:sz w:val="18"/>
                <w:szCs w:val="18"/>
              </w:rPr>
              <w:t>）</w:t>
            </w:r>
          </w:p>
        </w:tc>
        <w:tc>
          <w:tcPr>
            <w:tcW w:w="967"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占标率（%）</w:t>
            </w:r>
          </w:p>
        </w:tc>
        <w:tc>
          <w:tcPr>
            <w:tcW w:w="635"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谷家庄村</w:t>
            </w:r>
          </w:p>
        </w:tc>
        <w:tc>
          <w:tcPr>
            <w:tcW w:w="831"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1小时</w:t>
            </w:r>
          </w:p>
        </w:tc>
        <w:tc>
          <w:tcPr>
            <w:tcW w:w="1185"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0.018</w:t>
            </w:r>
          </w:p>
        </w:tc>
        <w:tc>
          <w:tcPr>
            <w:tcW w:w="1868"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16062106</w:t>
            </w:r>
          </w:p>
        </w:tc>
        <w:tc>
          <w:tcPr>
            <w:tcW w:w="1379"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179.38</w:t>
            </w:r>
          </w:p>
        </w:tc>
        <w:tc>
          <w:tcPr>
            <w:tcW w:w="63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胡乜村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0.020</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16083024</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195.41</w:t>
            </w:r>
          </w:p>
        </w:tc>
        <w:tc>
          <w:tcPr>
            <w:tcW w:w="63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康呼村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0.022</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16082804</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217.93</w:t>
            </w:r>
          </w:p>
        </w:tc>
        <w:tc>
          <w:tcPr>
            <w:tcW w:w="63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濮阳职业技术学院</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0.070</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16032608</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700.22</w:t>
            </w:r>
          </w:p>
        </w:tc>
        <w:tc>
          <w:tcPr>
            <w:tcW w:w="63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后漳消村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0.019</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16081701</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191.85</w:t>
            </w:r>
          </w:p>
        </w:tc>
        <w:tc>
          <w:tcPr>
            <w:tcW w:w="63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后黄甫村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0.051</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16012010</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506.19</w:t>
            </w:r>
          </w:p>
        </w:tc>
        <w:tc>
          <w:tcPr>
            <w:tcW w:w="63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7</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前漳消村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0.020</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16062204</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200.46</w:t>
            </w:r>
          </w:p>
        </w:tc>
        <w:tc>
          <w:tcPr>
            <w:tcW w:w="63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韩庄村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0.013</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16122603</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134.27</w:t>
            </w:r>
          </w:p>
        </w:tc>
        <w:tc>
          <w:tcPr>
            <w:tcW w:w="63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9</w:t>
            </w:r>
          </w:p>
        </w:tc>
        <w:tc>
          <w:tcPr>
            <w:tcW w:w="956" w:type="dxa"/>
            <w:vAlign w:val="center"/>
          </w:tcPr>
          <w:p>
            <w:pPr>
              <w:autoSpaceDN w:val="0"/>
              <w:adjustRightInd w:val="0"/>
              <w:snapToGrid w:val="0"/>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油坊村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0.017</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16082703</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170.04</w:t>
            </w:r>
          </w:p>
        </w:tc>
        <w:tc>
          <w:tcPr>
            <w:tcW w:w="63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张康呼</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0.017</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16080204</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173.09</w:t>
            </w:r>
          </w:p>
        </w:tc>
        <w:tc>
          <w:tcPr>
            <w:tcW w:w="63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11</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刘康呼</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0.023</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16060706</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227.29</w:t>
            </w:r>
          </w:p>
        </w:tc>
        <w:tc>
          <w:tcPr>
            <w:tcW w:w="63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蔡王合村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0.017</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16113008</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169.44</w:t>
            </w:r>
          </w:p>
        </w:tc>
        <w:tc>
          <w:tcPr>
            <w:tcW w:w="63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13</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前皇甫村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0.021</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16080222</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209.49</w:t>
            </w:r>
          </w:p>
        </w:tc>
        <w:tc>
          <w:tcPr>
            <w:tcW w:w="63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14</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吕家庄村</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0.018</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16082719</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174.75</w:t>
            </w:r>
          </w:p>
        </w:tc>
        <w:tc>
          <w:tcPr>
            <w:tcW w:w="63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杜家庄</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0.019</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16082719</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188.71</w:t>
            </w:r>
          </w:p>
        </w:tc>
        <w:tc>
          <w:tcPr>
            <w:tcW w:w="63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16</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濮阳世锦园</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0.038</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16052007</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376.69</w:t>
            </w:r>
          </w:p>
        </w:tc>
        <w:tc>
          <w:tcPr>
            <w:tcW w:w="63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17</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中原绿色庄园</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0.029</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16042407</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287.58</w:t>
            </w:r>
          </w:p>
        </w:tc>
        <w:tc>
          <w:tcPr>
            <w:tcW w:w="63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adjustRightInd w:val="0"/>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18</w:t>
            </w:r>
          </w:p>
        </w:tc>
        <w:tc>
          <w:tcPr>
            <w:tcW w:w="956" w:type="dxa"/>
            <w:vAlign w:val="center"/>
          </w:tcPr>
          <w:p>
            <w:pPr>
              <w:snapToGrid w:val="0"/>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濮上园</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0.020</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16073107</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198.83</w:t>
            </w:r>
          </w:p>
        </w:tc>
        <w:tc>
          <w:tcPr>
            <w:tcW w:w="63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5"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w:t>
            </w:r>
          </w:p>
        </w:tc>
        <w:tc>
          <w:tcPr>
            <w:tcW w:w="956" w:type="dxa"/>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网格(-100,100)</w:t>
            </w:r>
          </w:p>
        </w:tc>
        <w:tc>
          <w:tcPr>
            <w:tcW w:w="831" w:type="dxa"/>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1小时</w:t>
            </w:r>
          </w:p>
        </w:tc>
        <w:tc>
          <w:tcPr>
            <w:tcW w:w="11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0.399</w:t>
            </w:r>
          </w:p>
        </w:tc>
        <w:tc>
          <w:tcPr>
            <w:tcW w:w="186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16032608</w:t>
            </w:r>
          </w:p>
        </w:tc>
        <w:tc>
          <w:tcPr>
            <w:tcW w:w="137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96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3985.47</w:t>
            </w:r>
          </w:p>
        </w:tc>
        <w:tc>
          <w:tcPr>
            <w:tcW w:w="63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超标</w:t>
            </w:r>
          </w:p>
        </w:tc>
      </w:tr>
    </w:tbl>
    <w:p>
      <w:pPr>
        <w:spacing w:line="480" w:lineRule="exact"/>
        <w:ind w:firstLine="480" w:firstLineChars="200"/>
        <w:rPr>
          <w:rFonts w:ascii="宋体" w:hAnsi="宋体" w:eastAsia="宋体" w:cs="Arial"/>
          <w:sz w:val="24"/>
          <w:szCs w:val="24"/>
        </w:rPr>
      </w:pPr>
      <w:r>
        <w:rPr>
          <w:rFonts w:ascii="宋体" w:hAnsi="宋体" w:eastAsia="宋体" w:cs="Arial"/>
          <w:sz w:val="24"/>
          <w:szCs w:val="24"/>
        </w:rPr>
        <w:t>由上表预测结果可知，在非正常</w:t>
      </w:r>
      <w:r>
        <w:rPr>
          <w:rFonts w:hint="eastAsia" w:ascii="宋体" w:hAnsi="宋体" w:eastAsia="宋体" w:cs="Arial"/>
          <w:sz w:val="24"/>
          <w:szCs w:val="24"/>
        </w:rPr>
        <w:t>工况</w:t>
      </w:r>
      <w:r>
        <w:rPr>
          <w:rFonts w:ascii="宋体" w:hAnsi="宋体" w:eastAsia="宋体" w:cs="Arial"/>
          <w:sz w:val="24"/>
          <w:szCs w:val="24"/>
        </w:rPr>
        <w:t>情况下，</w:t>
      </w:r>
      <w:r>
        <w:rPr>
          <w:rFonts w:hint="eastAsia" w:ascii="宋体" w:hAnsi="宋体" w:eastAsia="宋体" w:cs="Arial"/>
          <w:sz w:val="24"/>
          <w:szCs w:val="24"/>
        </w:rPr>
        <w:t>非甲烷总烃敏感点不超标，但是网格点有超标现象，硫化氢超标较严重。评价建议企业加强管理，采用</w:t>
      </w:r>
      <w:r>
        <w:rPr>
          <w:rFonts w:ascii="宋体" w:hAnsi="宋体" w:eastAsia="宋体" w:cs="Arial"/>
          <w:sz w:val="24"/>
          <w:szCs w:val="24"/>
        </w:rPr>
        <w:t>泄漏检测与修复（简称LDAR）</w:t>
      </w:r>
      <w:r>
        <w:rPr>
          <w:rFonts w:hint="eastAsia" w:ascii="宋体" w:hAnsi="宋体" w:eastAsia="宋体" w:cs="Arial"/>
          <w:sz w:val="24"/>
          <w:szCs w:val="24"/>
        </w:rPr>
        <w:t>减少生产过程中的“跑、冒、滴、漏”，同时保证环保设施正常运行，尽量避免非正常工况出现。</w:t>
      </w:r>
    </w:p>
    <w:p>
      <w:pPr>
        <w:spacing w:before="80" w:after="80" w:line="520" w:lineRule="exact"/>
        <w:outlineLvl w:val="2"/>
        <w:rPr>
          <w:rFonts w:ascii="Times New Roman" w:hAnsi="Times New Roman" w:eastAsia="楷体" w:cs="Times New Roman"/>
          <w:sz w:val="28"/>
          <w:szCs w:val="28"/>
        </w:rPr>
      </w:pPr>
      <w:bookmarkStart w:id="62" w:name="_Toc8391561"/>
      <w:r>
        <w:rPr>
          <w:rFonts w:ascii="Times New Roman" w:hAnsi="Times New Roman" w:eastAsia="楷体" w:cs="Times New Roman"/>
          <w:sz w:val="28"/>
          <w:szCs w:val="28"/>
        </w:rPr>
        <w:t>4.1.9</w:t>
      </w:r>
      <w:r>
        <w:rPr>
          <w:rFonts w:hint="eastAsia" w:ascii="Times New Roman" w:hAnsi="Times New Roman" w:eastAsia="楷体" w:cs="Times New Roman"/>
          <w:sz w:val="28"/>
          <w:szCs w:val="28"/>
        </w:rPr>
        <w:t>大气环境影响预测小结</w:t>
      </w:r>
      <w:bookmarkEnd w:id="62"/>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（1）正常工况下</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评价区域内各关心点SO</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、NOx、PM</w:t>
      </w:r>
      <w:r>
        <w:rPr>
          <w:rFonts w:ascii="Times New Roman" w:hAnsi="Times New Roman" w:eastAsia="宋体" w:cs="Times New Roman"/>
          <w:sz w:val="24"/>
          <w:szCs w:val="24"/>
          <w:vertAlign w:val="subscript"/>
        </w:rPr>
        <w:t>10</w:t>
      </w:r>
      <w:r>
        <w:rPr>
          <w:rFonts w:ascii="Times New Roman" w:hAnsi="Times New Roman" w:eastAsia="宋体" w:cs="Times New Roman"/>
          <w:sz w:val="24"/>
          <w:szCs w:val="24"/>
        </w:rPr>
        <w:t>、NH</w:t>
      </w:r>
      <w:r>
        <w:rPr>
          <w:rFonts w:ascii="Times New Roman" w:hAnsi="Times New Roman" w:eastAsia="宋体" w:cs="Times New Roman"/>
          <w:sz w:val="24"/>
          <w:szCs w:val="24"/>
          <w:vertAlign w:val="subscript"/>
        </w:rPr>
        <w:t>3</w:t>
      </w:r>
      <w:r>
        <w:rPr>
          <w:rFonts w:ascii="Times New Roman" w:hAnsi="Times New Roman" w:eastAsia="宋体" w:cs="Times New Roman"/>
          <w:sz w:val="24"/>
          <w:szCs w:val="24"/>
        </w:rPr>
        <w:t>、H</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S、非甲烷总烃预测结果均未超过环境质量标准限值，网格点预测结果均未超标，不会对周边环境产生影响。</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（2）非正常工况或事故工况下</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在非正常情况下，网格点和周围环境敏感点H</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S</w:t>
      </w:r>
      <w:r>
        <w:rPr>
          <w:rFonts w:hint="eastAsia" w:ascii="Times New Roman" w:hAnsi="Times New Roman" w:eastAsia="宋体" w:cs="Times New Roman"/>
          <w:sz w:val="24"/>
          <w:szCs w:val="24"/>
        </w:rPr>
        <w:t>均</w:t>
      </w:r>
      <w:r>
        <w:rPr>
          <w:rFonts w:ascii="Times New Roman" w:hAnsi="Times New Roman" w:eastAsia="宋体" w:cs="Times New Roman"/>
          <w:sz w:val="24"/>
          <w:szCs w:val="24"/>
        </w:rPr>
        <w:t>出现超标，网格点非甲烷总烃小时值超标，超标位置在（-100，100）。评价要求建设单位需要做好废气的污染治理措施，加强</w:t>
      </w:r>
      <w:r>
        <w:rPr>
          <w:rFonts w:hint="eastAsia" w:ascii="Times New Roman" w:hAnsi="Times New Roman" w:eastAsia="宋体" w:cs="Times New Roman"/>
          <w:sz w:val="24"/>
          <w:szCs w:val="24"/>
        </w:rPr>
        <w:t>日常</w:t>
      </w:r>
      <w:r>
        <w:rPr>
          <w:rFonts w:ascii="Times New Roman" w:hAnsi="Times New Roman" w:eastAsia="宋体" w:cs="Times New Roman"/>
          <w:sz w:val="24"/>
          <w:szCs w:val="24"/>
        </w:rPr>
        <w:t>管理，定期维护废气处理装置，保证环保设施正常运行，则本项目产生的废气对环境的影响较小。</w:t>
      </w:r>
    </w:p>
    <w:p>
      <w:pPr>
        <w:pStyle w:val="39"/>
        <w:rPr>
          <w:color w:val="auto"/>
        </w:rPr>
      </w:pPr>
      <w:bookmarkStart w:id="63" w:name="_Toc8391562"/>
      <w:r>
        <w:rPr>
          <w:rFonts w:hint="eastAsia"/>
          <w:color w:val="auto"/>
        </w:rPr>
        <w:t>4.</w:t>
      </w:r>
      <w:r>
        <w:rPr>
          <w:color w:val="auto"/>
        </w:rPr>
        <w:t>2</w:t>
      </w:r>
      <w:r>
        <w:rPr>
          <w:rFonts w:hint="eastAsia"/>
          <w:color w:val="auto"/>
        </w:rPr>
        <w:t xml:space="preserve"> 水环境影响分析</w:t>
      </w:r>
      <w:bookmarkEnd w:id="63"/>
    </w:p>
    <w:p>
      <w:pPr>
        <w:spacing w:before="80" w:after="80" w:line="520" w:lineRule="exact"/>
        <w:outlineLvl w:val="2"/>
        <w:rPr>
          <w:rFonts w:ascii="Times New Roman" w:hAnsi="Times New Roman" w:eastAsia="楷体" w:cs="Times New Roman"/>
          <w:sz w:val="28"/>
          <w:szCs w:val="28"/>
        </w:rPr>
      </w:pPr>
      <w:bookmarkStart w:id="64" w:name="_Toc8391563"/>
      <w:r>
        <w:rPr>
          <w:rFonts w:hint="eastAsia" w:ascii="Times New Roman" w:hAnsi="Times New Roman" w:eastAsia="楷体" w:cs="Times New Roman"/>
          <w:sz w:val="28"/>
          <w:szCs w:val="28"/>
        </w:rPr>
        <w:t>4.2.1 地表水</w:t>
      </w:r>
      <w:bookmarkEnd w:id="64"/>
    </w:p>
    <w:p>
      <w:pPr>
        <w:spacing w:line="48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项目变更后，工艺路线中去掉了糠醛精制工序，</w:t>
      </w:r>
      <w:r>
        <w:rPr>
          <w:rFonts w:ascii="Times New Roman" w:hAnsi="Times New Roman" w:eastAsia="宋体" w:cs="Times New Roman"/>
          <w:b/>
          <w:sz w:val="24"/>
          <w:szCs w:val="24"/>
        </w:rPr>
        <w:t>从而</w:t>
      </w:r>
      <w:r>
        <w:rPr>
          <w:rFonts w:hint="eastAsia" w:ascii="Times New Roman" w:hAnsi="Times New Roman" w:eastAsia="宋体" w:cs="Times New Roman"/>
          <w:b/>
          <w:sz w:val="24"/>
          <w:szCs w:val="24"/>
        </w:rPr>
        <w:t>减少了该部分的蒸汽消耗和含油废水的产生。变更后，</w:t>
      </w:r>
      <w:r>
        <w:rPr>
          <w:rFonts w:ascii="Times New Roman" w:hAnsi="Times New Roman" w:eastAsia="宋体" w:cs="Times New Roman"/>
          <w:b/>
          <w:sz w:val="24"/>
          <w:szCs w:val="24"/>
        </w:rPr>
        <w:t>全厂</w:t>
      </w:r>
      <w:r>
        <w:rPr>
          <w:rFonts w:hint="eastAsia" w:ascii="Times New Roman" w:hAnsi="Times New Roman" w:eastAsia="宋体" w:cs="Times New Roman"/>
          <w:b/>
          <w:sz w:val="24"/>
          <w:szCs w:val="24"/>
        </w:rPr>
        <w:t>废水排放总量减少。项目废水处理措施不变。</w:t>
      </w:r>
    </w:p>
    <w:p>
      <w:pPr>
        <w:spacing w:line="480" w:lineRule="exact"/>
        <w:ind w:firstLine="480" w:firstLineChars="200"/>
        <w:rPr>
          <w:rFonts w:ascii="Times New Roman" w:hAnsi="Times New Roman" w:eastAsia="宋体" w:cs="Times New Roman"/>
          <w:kern w:val="0"/>
          <w:sz w:val="24"/>
          <w:szCs w:val="24"/>
        </w:rPr>
      </w:pPr>
      <w:r>
        <w:rPr>
          <w:rFonts w:hint="eastAsia" w:ascii="宋体" w:hAnsi="宋体" w:eastAsia="宋体" w:cs="Arial"/>
          <w:sz w:val="24"/>
          <w:szCs w:val="24"/>
        </w:rPr>
        <w:t>项目产生的</w:t>
      </w:r>
      <w:r>
        <w:rPr>
          <w:rFonts w:ascii="宋体" w:hAnsi="宋体" w:eastAsia="宋体" w:cs="Arial"/>
          <w:sz w:val="24"/>
          <w:szCs w:val="24"/>
        </w:rPr>
        <w:t>循环</w:t>
      </w:r>
      <w:r>
        <w:rPr>
          <w:rFonts w:hint="eastAsia" w:ascii="宋体" w:hAnsi="宋体" w:eastAsia="宋体" w:cs="Arial"/>
          <w:sz w:val="24"/>
          <w:szCs w:val="24"/>
        </w:rPr>
        <w:t>冷却塔排水为清净下水，直接排至园区污水处理管网。含油废水（</w:t>
      </w:r>
      <w:r>
        <w:rPr>
          <w:rFonts w:hint="eastAsia" w:ascii="Times New Roman" w:hAnsi="Times New Roman" w:eastAsia="宋体" w:cs="Times New Roman"/>
          <w:sz w:val="24"/>
          <w:szCs w:val="24"/>
        </w:rPr>
        <w:t>预处理含油废水、罐区废水、</w:t>
      </w:r>
      <w:r>
        <w:rPr>
          <w:rFonts w:ascii="Times New Roman" w:hAnsi="Times New Roman" w:eastAsia="宋体" w:cs="Times New Roman"/>
          <w:sz w:val="24"/>
          <w:szCs w:val="24"/>
        </w:rPr>
        <w:t>化验室</w:t>
      </w:r>
      <w:r>
        <w:rPr>
          <w:rFonts w:hint="eastAsia" w:ascii="Times New Roman" w:hAnsi="Times New Roman" w:eastAsia="宋体" w:cs="Times New Roman"/>
          <w:sz w:val="24"/>
          <w:szCs w:val="24"/>
        </w:rPr>
        <w:t>废水、</w:t>
      </w:r>
      <w:r>
        <w:rPr>
          <w:rFonts w:ascii="Times New Roman" w:hAnsi="Times New Roman" w:eastAsia="宋体" w:cs="Times New Roman"/>
          <w:sz w:val="24"/>
          <w:szCs w:val="24"/>
        </w:rPr>
        <w:t>地面</w:t>
      </w:r>
      <w:r>
        <w:rPr>
          <w:rFonts w:hint="eastAsia" w:ascii="Times New Roman" w:hAnsi="Times New Roman" w:eastAsia="宋体" w:cs="Times New Roman"/>
          <w:sz w:val="24"/>
          <w:szCs w:val="24"/>
        </w:rPr>
        <w:t>冲洗水、</w:t>
      </w:r>
      <w:r>
        <w:rPr>
          <w:rFonts w:ascii="Times New Roman" w:hAnsi="Times New Roman" w:eastAsia="宋体" w:cs="Times New Roman"/>
          <w:sz w:val="24"/>
          <w:szCs w:val="24"/>
        </w:rPr>
        <w:t>未预见水</w:t>
      </w:r>
      <w:r>
        <w:rPr>
          <w:rFonts w:ascii="宋体" w:hAnsi="宋体" w:eastAsia="宋体" w:cs="Arial"/>
          <w:sz w:val="24"/>
          <w:szCs w:val="24"/>
        </w:rPr>
        <w:t>）</w:t>
      </w:r>
      <w:r>
        <w:rPr>
          <w:rFonts w:hint="eastAsia" w:ascii="Times New Roman" w:hAnsi="Times New Roman" w:eastAsia="宋体" w:cs="Times New Roman"/>
          <w:kern w:val="0"/>
          <w:sz w:val="24"/>
          <w:szCs w:val="24"/>
        </w:rPr>
        <w:t>首先进行单独除油，采用隔油+气浮工艺，预处理出水与生活污水混合后进行生化处理，</w:t>
      </w:r>
      <w:r>
        <w:rPr>
          <w:rFonts w:ascii="Times New Roman" w:hAnsi="Times New Roman" w:eastAsia="宋体" w:cs="Times New Roman"/>
          <w:kern w:val="0"/>
          <w:sz w:val="24"/>
          <w:szCs w:val="24"/>
        </w:rPr>
        <w:t>采取“调节+</w:t>
      </w:r>
      <w:r>
        <w:rPr>
          <w:rFonts w:hint="eastAsia" w:ascii="Times New Roman" w:hAnsi="Times New Roman" w:eastAsia="宋体" w:cs="Times New Roman"/>
          <w:kern w:val="0"/>
          <w:sz w:val="24"/>
          <w:szCs w:val="24"/>
        </w:rPr>
        <w:t>水解酸化</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 xml:space="preserve"> UASB</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 xml:space="preserve"> A/O</w:t>
      </w:r>
      <w:r>
        <w:rPr>
          <w:rFonts w:ascii="Times New Roman" w:hAnsi="Times New Roman" w:eastAsia="宋体" w:cs="Times New Roman"/>
          <w:kern w:val="0"/>
          <w:sz w:val="24"/>
          <w:szCs w:val="24"/>
        </w:rPr>
        <w:t>”处理工艺。处理后的生产废水</w:t>
      </w:r>
      <w:r>
        <w:rPr>
          <w:rFonts w:hint="eastAsia" w:ascii="Times New Roman" w:hAnsi="Times New Roman" w:eastAsia="宋体" w:cs="Times New Roman"/>
          <w:kern w:val="0"/>
          <w:sz w:val="24"/>
          <w:szCs w:val="24"/>
        </w:rPr>
        <w:t>和生活污水</w:t>
      </w:r>
      <w:r>
        <w:rPr>
          <w:rFonts w:ascii="Times New Roman" w:hAnsi="Times New Roman" w:eastAsia="宋体" w:cs="Times New Roman"/>
          <w:kern w:val="0"/>
          <w:sz w:val="24"/>
          <w:szCs w:val="24"/>
        </w:rPr>
        <w:t>达到</w:t>
      </w:r>
      <w:r>
        <w:rPr>
          <w:rFonts w:hint="eastAsia" w:ascii="Times New Roman" w:hAnsi="Times New Roman" w:eastAsia="宋体" w:cs="Times New Roman"/>
          <w:kern w:val="0"/>
          <w:sz w:val="24"/>
          <w:szCs w:val="24"/>
        </w:rPr>
        <w:t>《污水综合排放标准》（GB8978-1996）表4二级</w:t>
      </w:r>
      <w:r>
        <w:rPr>
          <w:rFonts w:ascii="Times New Roman" w:hAnsi="Times New Roman" w:eastAsia="宋体" w:cs="Times New Roman"/>
          <w:kern w:val="0"/>
          <w:sz w:val="24"/>
          <w:szCs w:val="24"/>
        </w:rPr>
        <w:t>标准及</w:t>
      </w:r>
      <w:r>
        <w:rPr>
          <w:rFonts w:hint="eastAsia" w:ascii="Times New Roman" w:hAnsi="Times New Roman" w:eastAsia="宋体" w:cs="Times New Roman"/>
          <w:kern w:val="0"/>
          <w:sz w:val="24"/>
          <w:szCs w:val="24"/>
        </w:rPr>
        <w:t>濮阳市第二污水处理厂</w:t>
      </w:r>
      <w:r>
        <w:rPr>
          <w:rFonts w:ascii="Times New Roman" w:hAnsi="Times New Roman" w:eastAsia="宋体" w:cs="Times New Roman"/>
          <w:kern w:val="0"/>
          <w:sz w:val="24"/>
          <w:szCs w:val="24"/>
        </w:rPr>
        <w:t>进水水质要求后，</w:t>
      </w:r>
      <w:r>
        <w:rPr>
          <w:rFonts w:hint="eastAsia" w:ascii="Times New Roman" w:hAnsi="Times New Roman" w:eastAsia="宋体" w:cs="Times New Roman"/>
          <w:kern w:val="0"/>
          <w:sz w:val="24"/>
          <w:szCs w:val="24"/>
        </w:rPr>
        <w:t>排入濮阳市第二污水处理厂进行进一步处理，濮阳市环保局 2015年8月14日以濮环审〔2015〕43号对濮阳市第二污水处理厂环境影响报告书予以批复。目前濮阳市第二污水处理厂已投入运行，出水满足《城市污水处理厂污染物排放标准》（GB18918-2002）一级A标准基础上执行《地表水环境质量标准》（GB 3838-2002）中的Ⅴ类水标准，项目外排废水不直接排入地表水体，经濮阳市第二污水处理厂处理达标后外排入顺河沟，最终进入马颊河。因此，</w:t>
      </w:r>
      <w:r>
        <w:rPr>
          <w:rFonts w:ascii="Times New Roman" w:hAnsi="Times New Roman" w:eastAsia="宋体" w:cs="Times New Roman"/>
          <w:kern w:val="0"/>
          <w:sz w:val="24"/>
          <w:szCs w:val="24"/>
        </w:rPr>
        <w:t>本项目对地表水体影响</w:t>
      </w:r>
      <w:r>
        <w:rPr>
          <w:rFonts w:hint="eastAsia" w:ascii="Times New Roman" w:hAnsi="Times New Roman" w:eastAsia="宋体" w:cs="Times New Roman"/>
          <w:kern w:val="0"/>
          <w:sz w:val="24"/>
          <w:szCs w:val="24"/>
        </w:rPr>
        <w:t>较小</w:t>
      </w:r>
      <w:r>
        <w:rPr>
          <w:rFonts w:ascii="Times New Roman" w:hAnsi="Times New Roman" w:eastAsia="宋体" w:cs="Times New Roman"/>
          <w:kern w:val="0"/>
          <w:sz w:val="24"/>
          <w:szCs w:val="24"/>
        </w:rPr>
        <w:t>。</w:t>
      </w:r>
    </w:p>
    <w:p>
      <w:pPr>
        <w:spacing w:before="80" w:after="80" w:line="520" w:lineRule="exact"/>
        <w:outlineLvl w:val="2"/>
        <w:rPr>
          <w:rFonts w:ascii="Times New Roman" w:hAnsi="Times New Roman" w:eastAsia="楷体" w:cs="Times New Roman"/>
          <w:sz w:val="28"/>
          <w:szCs w:val="28"/>
        </w:rPr>
      </w:pPr>
      <w:bookmarkStart w:id="65" w:name="_Toc8391564"/>
      <w:r>
        <w:rPr>
          <w:rFonts w:hint="eastAsia" w:ascii="Times New Roman" w:hAnsi="Times New Roman" w:eastAsia="楷体" w:cs="Times New Roman"/>
          <w:sz w:val="28"/>
          <w:szCs w:val="28"/>
        </w:rPr>
        <w:t>4.2.</w:t>
      </w:r>
      <w:r>
        <w:rPr>
          <w:rFonts w:ascii="Times New Roman" w:hAnsi="Times New Roman" w:eastAsia="楷体" w:cs="Times New Roman"/>
          <w:sz w:val="28"/>
          <w:szCs w:val="28"/>
        </w:rPr>
        <w:t>2</w:t>
      </w:r>
      <w:r>
        <w:rPr>
          <w:rFonts w:hint="eastAsia" w:ascii="Times New Roman" w:hAnsi="Times New Roman" w:eastAsia="楷体" w:cs="Times New Roman"/>
          <w:sz w:val="28"/>
          <w:szCs w:val="28"/>
        </w:rPr>
        <w:t xml:space="preserve"> 地下水</w:t>
      </w:r>
      <w:bookmarkEnd w:id="65"/>
    </w:p>
    <w:p>
      <w:pPr>
        <w:spacing w:line="48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本项目变更前后建设位置、建设项目类别和地下水环境敏感程度均不变，评价等级不变。项目变更后，</w:t>
      </w:r>
      <w:r>
        <w:rPr>
          <w:rFonts w:ascii="Times New Roman" w:hAnsi="Times New Roman" w:eastAsia="宋体" w:cs="Times New Roman"/>
          <w:b/>
          <w:sz w:val="24"/>
          <w:szCs w:val="24"/>
        </w:rPr>
        <w:t>全厂</w:t>
      </w:r>
      <w:r>
        <w:rPr>
          <w:rFonts w:hint="eastAsia" w:ascii="Times New Roman" w:hAnsi="Times New Roman" w:eastAsia="宋体" w:cs="Times New Roman"/>
          <w:b/>
          <w:sz w:val="24"/>
          <w:szCs w:val="24"/>
        </w:rPr>
        <w:t>废水排放总量减少，厂区内的地下水污染防治措施不变，项目对地下水环境的影响减轻。</w:t>
      </w:r>
    </w:p>
    <w:p>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根据</w:t>
      </w:r>
      <w:r>
        <w:rPr>
          <w:rFonts w:ascii="Times New Roman" w:hAnsi="Times New Roman" w:eastAsia="宋体"/>
          <w:kern w:val="0"/>
          <w:sz w:val="24"/>
          <w:szCs w:val="24"/>
        </w:rPr>
        <w:t>原环评</w:t>
      </w:r>
      <w:r>
        <w:rPr>
          <w:rFonts w:hint="eastAsia" w:ascii="Times New Roman" w:hAnsi="Times New Roman" w:eastAsia="宋体"/>
          <w:kern w:val="0"/>
          <w:sz w:val="24"/>
          <w:szCs w:val="24"/>
        </w:rPr>
        <w:t>地下水环境影响分析结论：</w:t>
      </w:r>
    </w:p>
    <w:p>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（1</w:t>
      </w:r>
      <w:r>
        <w:rPr>
          <w:rFonts w:ascii="Times New Roman" w:hAnsi="Times New Roman" w:eastAsia="宋体"/>
          <w:kern w:val="0"/>
          <w:sz w:val="24"/>
          <w:szCs w:val="24"/>
        </w:rPr>
        <w:t>）</w:t>
      </w:r>
      <w:r>
        <w:rPr>
          <w:rFonts w:hint="eastAsia" w:ascii="Times New Roman" w:hAnsi="Times New Roman" w:eastAsia="宋体"/>
          <w:kern w:val="0"/>
          <w:sz w:val="24"/>
          <w:szCs w:val="24"/>
        </w:rPr>
        <w:t>在正常情况下，根据污水处理方案，本项目所有污废水经过处理达到达标后排放，不会直接进入地下水，本项目不会对地下水产生明显的不利影响。</w:t>
      </w:r>
    </w:p>
    <w:p>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（2</w:t>
      </w:r>
      <w:r>
        <w:rPr>
          <w:rFonts w:ascii="Times New Roman" w:hAnsi="Times New Roman" w:eastAsia="宋体"/>
          <w:kern w:val="0"/>
          <w:sz w:val="24"/>
          <w:szCs w:val="24"/>
        </w:rPr>
        <w:t>）</w:t>
      </w:r>
      <w:r>
        <w:rPr>
          <w:rFonts w:hint="eastAsia" w:ascii="Times New Roman" w:hAnsi="Times New Roman" w:eastAsia="宋体"/>
          <w:kern w:val="0"/>
          <w:sz w:val="24"/>
          <w:szCs w:val="24"/>
        </w:rPr>
        <w:t>在非正常工况下，污染物渗入会引起较为明显的增值，且会在长时间内造成较大的污染。本项目所在地周边均已实现自来水供应，水井已基本废弃或不在作为饮用水，因此在发生事故时，地下水污染对周边群众的日常生活不会造成大的影响。</w:t>
      </w:r>
    </w:p>
    <w:p>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建设单位只要做好地下水污染防治工作，通过设置防渗漏措施、渗漏监测措施、制定应急预案等，可有效减少地下水污染事故发生的可能性。本项目对地下水的污染和影响可控制在可接受的范围和程度之内。考虑到项目变更后，废水排放量较原环评有所减少，故本报告不再对非正常工况下，项目对地下水环境影响进行预测分析。</w:t>
      </w:r>
    </w:p>
    <w:p>
      <w:pPr>
        <w:pStyle w:val="39"/>
        <w:rPr>
          <w:color w:val="auto"/>
        </w:rPr>
      </w:pPr>
      <w:bookmarkStart w:id="66" w:name="_Toc8391565"/>
      <w:r>
        <w:rPr>
          <w:rFonts w:hint="eastAsia"/>
          <w:color w:val="auto"/>
        </w:rPr>
        <w:t>4.3 噪声影响分析</w:t>
      </w:r>
      <w:bookmarkEnd w:id="66"/>
    </w:p>
    <w:p>
      <w:pPr>
        <w:spacing w:line="480" w:lineRule="exact"/>
        <w:ind w:firstLine="482" w:firstLineChars="200"/>
        <w:rPr>
          <w:rFonts w:ascii="Times New Roman" w:hAnsi="Times New Roman" w:eastAsia="宋体"/>
          <w:kern w:val="0"/>
          <w:sz w:val="24"/>
          <w:szCs w:val="24"/>
        </w:rPr>
      </w:pPr>
      <w:r>
        <w:rPr>
          <w:rFonts w:hint="eastAsia" w:ascii="Times New Roman" w:hAnsi="Times New Roman" w:eastAsia="宋体"/>
          <w:b/>
          <w:kern w:val="0"/>
          <w:sz w:val="24"/>
          <w:szCs w:val="24"/>
        </w:rPr>
        <w:t>项目变更后，生产车间内的泵机等产噪设备有所减少，噪声产生源强较原环评有所降低，产噪设备在厂区内的分布不变，</w:t>
      </w:r>
      <w:r>
        <w:rPr>
          <w:rFonts w:ascii="Times New Roman" w:hAnsi="Times New Roman" w:eastAsia="宋体"/>
          <w:b/>
          <w:kern w:val="0"/>
          <w:sz w:val="24"/>
          <w:szCs w:val="24"/>
        </w:rPr>
        <w:t>降噪</w:t>
      </w:r>
      <w:r>
        <w:rPr>
          <w:rFonts w:hint="eastAsia" w:ascii="Times New Roman" w:hAnsi="Times New Roman" w:eastAsia="宋体"/>
          <w:b/>
          <w:kern w:val="0"/>
          <w:sz w:val="24"/>
          <w:szCs w:val="24"/>
        </w:rPr>
        <w:t>措施不变，</w:t>
      </w:r>
      <w:r>
        <w:rPr>
          <w:rFonts w:ascii="Times New Roman" w:hAnsi="Times New Roman" w:eastAsia="宋体"/>
          <w:b/>
          <w:kern w:val="0"/>
          <w:sz w:val="24"/>
          <w:szCs w:val="24"/>
        </w:rPr>
        <w:t>噪声</w:t>
      </w:r>
      <w:r>
        <w:rPr>
          <w:rFonts w:hint="eastAsia" w:ascii="Times New Roman" w:hAnsi="Times New Roman" w:eastAsia="宋体"/>
          <w:b/>
          <w:kern w:val="0"/>
          <w:sz w:val="24"/>
          <w:szCs w:val="24"/>
        </w:rPr>
        <w:t>排放源强减小。</w:t>
      </w:r>
    </w:p>
    <w:p>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根据</w:t>
      </w:r>
      <w:r>
        <w:rPr>
          <w:rFonts w:ascii="Times New Roman" w:hAnsi="Times New Roman" w:eastAsia="宋体"/>
          <w:kern w:val="0"/>
          <w:sz w:val="24"/>
          <w:szCs w:val="24"/>
        </w:rPr>
        <w:t>原环评</w:t>
      </w:r>
      <w:r>
        <w:rPr>
          <w:rFonts w:hint="eastAsia" w:ascii="Times New Roman" w:hAnsi="Times New Roman" w:eastAsia="宋体"/>
          <w:kern w:val="0"/>
          <w:sz w:val="24"/>
          <w:szCs w:val="24"/>
        </w:rPr>
        <w:t>声环境影响分析结论：项目东、西、南、北厂界昼、夜噪声预测值均满足《工业企业厂界环境噪声排放标准》（GB12348-2008）3类和4类标准要求。故本报告不再对声环境影响进行预测分析。</w:t>
      </w:r>
    </w:p>
    <w:p>
      <w:pPr>
        <w:pStyle w:val="39"/>
        <w:rPr>
          <w:color w:val="auto"/>
        </w:rPr>
      </w:pPr>
      <w:bookmarkStart w:id="67" w:name="_Toc8391566"/>
      <w:r>
        <w:rPr>
          <w:rFonts w:hint="eastAsia"/>
          <w:color w:val="auto"/>
        </w:rPr>
        <w:t>4.4</w:t>
      </w:r>
      <w:r>
        <w:rPr>
          <w:color w:val="auto"/>
        </w:rPr>
        <w:t xml:space="preserve"> </w:t>
      </w:r>
      <w:r>
        <w:rPr>
          <w:rFonts w:hint="eastAsia"/>
          <w:color w:val="auto"/>
        </w:rPr>
        <w:t>固废环境影响分析</w:t>
      </w:r>
      <w:bookmarkEnd w:id="67"/>
    </w:p>
    <w:p>
      <w:pPr>
        <w:spacing w:line="480" w:lineRule="exact"/>
        <w:ind w:firstLine="482" w:firstLineChars="200"/>
        <w:rPr>
          <w:rFonts w:ascii="Times New Roman" w:hAnsi="Times New Roman" w:eastAsia="宋体"/>
          <w:kern w:val="0"/>
          <w:sz w:val="24"/>
          <w:szCs w:val="24"/>
        </w:rPr>
      </w:pPr>
      <w:r>
        <w:rPr>
          <w:rFonts w:hint="eastAsia" w:ascii="Times New Roman" w:hAnsi="Times New Roman" w:eastAsia="宋体"/>
          <w:b/>
          <w:kern w:val="0"/>
          <w:sz w:val="24"/>
          <w:szCs w:val="24"/>
        </w:rPr>
        <w:t>项目变更后，预处理工序中去掉精密过滤器过滤，故不会再产生废过滤网。变更后，含油废渣产生总量与原环评保持一致，来源有所变化，其他固体废物产生情况不变。项目采取的固体废物处置措施不变。本报告引用原环评分析结论。</w:t>
      </w:r>
    </w:p>
    <w:p>
      <w:pPr>
        <w:pStyle w:val="24"/>
        <w:ind w:firstLine="480"/>
        <w:rPr>
          <w:color w:val="auto"/>
        </w:rPr>
      </w:pPr>
      <w:r>
        <w:rPr>
          <w:rFonts w:hint="eastAsia"/>
          <w:color w:val="auto"/>
        </w:rPr>
        <w:t>项目生活垃圾定期交于市政环卫部门清理。项目产生的危险废物先暂存于1座200m</w:t>
      </w:r>
      <w:r>
        <w:rPr>
          <w:rFonts w:hint="eastAsia"/>
          <w:color w:val="auto"/>
          <w:vertAlign w:val="superscript"/>
        </w:rPr>
        <w:t>2</w:t>
      </w:r>
      <w:r>
        <w:rPr>
          <w:rFonts w:hint="eastAsia"/>
          <w:color w:val="auto"/>
        </w:rPr>
        <w:t>危废暂存间，最终交与有资质的单位处置。危废暂存间建设按照《危险废物贮存污染控制标准》（GB18597-2001)中的相关标准执行。</w:t>
      </w:r>
    </w:p>
    <w:p>
      <w:pPr>
        <w:pStyle w:val="24"/>
        <w:ind w:firstLine="480"/>
        <w:rPr>
          <w:color w:val="auto"/>
        </w:rPr>
      </w:pPr>
      <w:r>
        <w:rPr>
          <w:rFonts w:hint="eastAsia"/>
          <w:color w:val="auto"/>
        </w:rPr>
        <w:t>本项目针对固体废物的产生情况采取了合理的处置措施，固体废物在厂区的贮运也严格按照《一般工业固体废物贮存、处置场污染控制标准》(GB18599-2001）和《危险废物贮存污染控制标准》（GB18597-2001）等相关规范进行。</w:t>
      </w:r>
    </w:p>
    <w:p>
      <w:pPr>
        <w:pStyle w:val="24"/>
        <w:ind w:firstLine="480"/>
        <w:rPr>
          <w:color w:val="auto"/>
        </w:rPr>
      </w:pPr>
      <w:r>
        <w:rPr>
          <w:rFonts w:hint="eastAsia"/>
          <w:color w:val="auto"/>
        </w:rPr>
        <w:t>综上所述，在加强管理，并落实好各项污染防治措施和固体废物安全处置措施的前提下，项目产生的固体废物对周围环境的影响较小。</w:t>
      </w:r>
    </w:p>
    <w:p>
      <w:pPr>
        <w:spacing w:line="480" w:lineRule="exact"/>
        <w:ind w:firstLine="480" w:firstLineChars="200"/>
        <w:rPr>
          <w:rFonts w:ascii="Times New Roman" w:hAnsi="Times New Roman" w:eastAsia="宋体"/>
          <w:kern w:val="0"/>
          <w:sz w:val="24"/>
          <w:szCs w:val="24"/>
        </w:rPr>
      </w:pPr>
    </w:p>
    <w:p/>
    <w:p>
      <w:pPr>
        <w:sectPr>
          <w:pgSz w:w="11906" w:h="16838"/>
          <w:pgMar w:top="1440" w:right="1800" w:bottom="1440" w:left="1800" w:header="851" w:footer="992" w:gutter="0"/>
          <w:cols w:space="425" w:num="1"/>
          <w:docGrid w:type="lines" w:linePitch="312" w:charSpace="0"/>
        </w:sectPr>
      </w:pPr>
    </w:p>
    <w:p>
      <w:pPr>
        <w:pStyle w:val="38"/>
      </w:pPr>
      <w:bookmarkStart w:id="68" w:name="_Toc8391567"/>
      <w:r>
        <w:rPr>
          <w:rFonts w:hint="eastAsia"/>
        </w:rPr>
        <w:t>5 环境保护措施及可行性论证</w:t>
      </w:r>
      <w:bookmarkEnd w:id="68"/>
    </w:p>
    <w:p>
      <w:pPr>
        <w:pStyle w:val="39"/>
        <w:rPr>
          <w:color w:val="auto"/>
        </w:rPr>
      </w:pPr>
      <w:bookmarkStart w:id="69" w:name="bookmark337"/>
      <w:bookmarkStart w:id="70" w:name="bookmark338"/>
      <w:bookmarkStart w:id="71" w:name="_Toc512973641"/>
      <w:bookmarkStart w:id="72" w:name="_Toc8391568"/>
      <w:r>
        <w:rPr>
          <w:color w:val="auto"/>
        </w:rPr>
        <w:t>5.</w:t>
      </w:r>
      <w:bookmarkEnd w:id="69"/>
      <w:bookmarkEnd w:id="70"/>
      <w:r>
        <w:rPr>
          <w:color w:val="auto"/>
        </w:rPr>
        <w:t>1</w:t>
      </w:r>
      <w:r>
        <w:rPr>
          <w:rFonts w:hint="eastAsia"/>
          <w:color w:val="auto"/>
        </w:rPr>
        <w:t>废气污染防治措施</w:t>
      </w:r>
      <w:bookmarkEnd w:id="71"/>
      <w:bookmarkEnd w:id="72"/>
    </w:p>
    <w:p>
      <w:pPr>
        <w:spacing w:line="480" w:lineRule="exact"/>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项目变更后，</w:t>
      </w:r>
      <w:r>
        <w:rPr>
          <w:rFonts w:hint="eastAsia" w:ascii="Times New Roman" w:hAnsi="Times New Roman" w:eastAsia="宋体" w:cs="Times New Roman"/>
          <w:b/>
          <w:sz w:val="24"/>
          <w:szCs w:val="24"/>
        </w:rPr>
        <w:t>生产工艺中的不凝气产生节点有所改变，设备换热热源改变（由导热油炉替代原环评的熔盐炉</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具体见表3.6-1。</w:t>
      </w:r>
      <w:r>
        <w:rPr>
          <w:rFonts w:hint="eastAsia" w:ascii="Times New Roman" w:hAnsi="Times New Roman" w:eastAsia="宋体" w:cs="Times New Roman"/>
          <w:b/>
          <w:sz w:val="24"/>
          <w:szCs w:val="24"/>
        </w:rPr>
        <w:t>不凝气的去向不变，均作为减压炉燃料进行燃烧，</w:t>
      </w:r>
      <w:r>
        <w:rPr>
          <w:rFonts w:ascii="Times New Roman" w:hAnsi="Times New Roman" w:eastAsia="宋体" w:cs="Times New Roman"/>
          <w:b/>
          <w:sz w:val="24"/>
          <w:szCs w:val="24"/>
        </w:rPr>
        <w:t>罐区</w:t>
      </w:r>
      <w:r>
        <w:rPr>
          <w:rFonts w:hint="eastAsia" w:ascii="Times New Roman" w:hAnsi="Times New Roman" w:eastAsia="宋体" w:cs="Times New Roman"/>
          <w:b/>
          <w:sz w:val="24"/>
          <w:szCs w:val="24"/>
        </w:rPr>
        <w:t>小呼吸废气处理措施发生变化。</w:t>
      </w:r>
      <w:r>
        <w:rPr>
          <w:rFonts w:ascii="Times New Roman" w:hAnsi="Times New Roman" w:eastAsia="宋体" w:cs="Times New Roman"/>
          <w:b/>
          <w:sz w:val="24"/>
          <w:szCs w:val="24"/>
        </w:rPr>
        <w:t>各</w:t>
      </w:r>
      <w:r>
        <w:rPr>
          <w:rFonts w:hint="eastAsia" w:ascii="Times New Roman" w:hAnsi="Times New Roman" w:eastAsia="宋体" w:cs="Times New Roman"/>
          <w:b/>
          <w:sz w:val="24"/>
          <w:szCs w:val="24"/>
        </w:rPr>
        <w:t>类</w:t>
      </w:r>
      <w:r>
        <w:rPr>
          <w:rFonts w:ascii="Times New Roman" w:hAnsi="Times New Roman" w:eastAsia="宋体" w:cs="Times New Roman"/>
          <w:b/>
          <w:sz w:val="24"/>
          <w:szCs w:val="24"/>
        </w:rPr>
        <w:t>废气</w:t>
      </w:r>
      <w:r>
        <w:rPr>
          <w:rFonts w:hint="eastAsia" w:ascii="Times New Roman" w:hAnsi="Times New Roman" w:eastAsia="宋体" w:cs="Times New Roman"/>
          <w:b/>
          <w:sz w:val="24"/>
          <w:szCs w:val="24"/>
        </w:rPr>
        <w:t>中的主要污染物不变，故本项目各类废气对应的污染防治措施不变，</w:t>
      </w:r>
      <w:r>
        <w:rPr>
          <w:rFonts w:ascii="Times New Roman" w:hAnsi="Times New Roman" w:eastAsia="宋体" w:cs="Times New Roman"/>
          <w:b/>
          <w:sz w:val="24"/>
          <w:szCs w:val="24"/>
        </w:rPr>
        <w:t>具体</w:t>
      </w:r>
      <w:r>
        <w:rPr>
          <w:rFonts w:hint="eastAsia" w:ascii="Times New Roman" w:hAnsi="Times New Roman" w:eastAsia="宋体" w:cs="Times New Roman"/>
          <w:b/>
          <w:sz w:val="24"/>
          <w:szCs w:val="24"/>
        </w:rPr>
        <w:t>描述如下：</w:t>
      </w:r>
    </w:p>
    <w:p>
      <w:pPr>
        <w:spacing w:before="80" w:after="80" w:line="520" w:lineRule="exact"/>
        <w:outlineLvl w:val="2"/>
        <w:rPr>
          <w:rFonts w:ascii="Times New Roman" w:hAnsi="Times New Roman" w:eastAsia="楷体" w:cs="Times New Roman"/>
          <w:sz w:val="28"/>
          <w:szCs w:val="28"/>
        </w:rPr>
      </w:pPr>
      <w:bookmarkStart w:id="73" w:name="_Toc8391569"/>
      <w:bookmarkStart w:id="74" w:name="_Toc512973642"/>
      <w:bookmarkStart w:id="75" w:name="bookmark339"/>
      <w:r>
        <w:rPr>
          <w:rFonts w:ascii="Times New Roman" w:hAnsi="Times New Roman" w:eastAsia="楷体" w:cs="Times New Roman"/>
          <w:sz w:val="28"/>
          <w:szCs w:val="28"/>
        </w:rPr>
        <w:t>5.1.1有组织废气污染防治措施</w:t>
      </w:r>
      <w:bookmarkEnd w:id="73"/>
      <w:bookmarkEnd w:id="74"/>
      <w:bookmarkEnd w:id="75"/>
    </w:p>
    <w:p/>
    <w:p>
      <w:pPr>
        <w:jc w:val="center"/>
      </w:pPr>
      <w:r>
        <w:object>
          <v:shape id="_x0000_i1028" o:spt="75" type="#_x0000_t75" style="height:280.3pt;width:366pt;" o:ole="t" filled="f" o:preferrelative="t" stroked="f" coordsize="21600,21600">
            <v:path/>
            <v:fill on="f" focussize="0,0"/>
            <v:stroke on="f" joinstyle="miter"/>
            <v:imagedata r:id="rId19" o:title=""/>
            <o:lock v:ext="edit" aspectratio="t"/>
            <w10:wrap type="none"/>
            <w10:anchorlock/>
          </v:shape>
          <o:OLEObject Type="Embed" ProgID="Visio.Drawing.11" ShapeID="_x0000_i1028" DrawAspect="Content" ObjectID="_1468075730" r:id="rId18">
            <o:LockedField>false</o:LockedField>
          </o:OLEObject>
        </w:object>
      </w:r>
    </w:p>
    <w:p>
      <w:pPr>
        <w:pStyle w:val="50"/>
        <w:ind w:firstLine="0" w:firstLineChars="0"/>
        <w:rPr>
          <w:color w:val="auto"/>
        </w:rPr>
      </w:pPr>
      <w:r>
        <w:rPr>
          <w:rFonts w:hint="eastAsia"/>
          <w:color w:val="auto"/>
        </w:rPr>
        <w:t>图</w:t>
      </w:r>
      <w:r>
        <w:rPr>
          <w:color w:val="auto"/>
        </w:rPr>
        <w:t>5.1-</w:t>
      </w:r>
      <w:r>
        <w:rPr>
          <w:rFonts w:hint="eastAsia"/>
          <w:color w:val="auto"/>
        </w:rPr>
        <w:t>1</w:t>
      </w:r>
      <w:r>
        <w:rPr>
          <w:color w:val="auto"/>
        </w:rPr>
        <w:t xml:space="preserve">    </w:t>
      </w:r>
      <w:r>
        <w:rPr>
          <w:rFonts w:hint="eastAsia"/>
          <w:color w:val="auto"/>
        </w:rPr>
        <w:t>变更后</w:t>
      </w:r>
      <w:r>
        <w:rPr>
          <w:color w:val="auto"/>
        </w:rPr>
        <w:t>项目</w:t>
      </w:r>
      <w:r>
        <w:rPr>
          <w:rFonts w:hint="eastAsia"/>
          <w:color w:val="auto"/>
        </w:rPr>
        <w:t>废气流向和治理示意图</w:t>
      </w:r>
    </w:p>
    <w:p>
      <w:pPr>
        <w:pStyle w:val="33"/>
        <w:rPr>
          <w:color w:val="auto"/>
        </w:rPr>
      </w:pPr>
      <w:bookmarkStart w:id="76" w:name="bookmark3"/>
      <w:r>
        <w:rPr>
          <w:color w:val="auto"/>
        </w:rPr>
        <w:t>5</w:t>
      </w:r>
      <w:r>
        <w:rPr>
          <w:rFonts w:hint="eastAsia"/>
          <w:color w:val="auto"/>
        </w:rPr>
        <w:t>.</w:t>
      </w:r>
      <w:r>
        <w:rPr>
          <w:color w:val="auto"/>
        </w:rPr>
        <w:t>1</w:t>
      </w:r>
      <w:r>
        <w:rPr>
          <w:rFonts w:hint="eastAsia"/>
          <w:color w:val="auto"/>
        </w:rPr>
        <w:t>.1.1</w:t>
      </w:r>
      <w:r>
        <w:rPr>
          <w:color w:val="auto"/>
        </w:rPr>
        <w:t xml:space="preserve"> </w:t>
      </w:r>
      <w:r>
        <w:rPr>
          <w:rFonts w:hint="eastAsia"/>
          <w:color w:val="auto"/>
        </w:rPr>
        <w:t>燃烧烟气治理措施</w:t>
      </w:r>
      <w:bookmarkEnd w:id="76"/>
    </w:p>
    <w:p>
      <w:pPr>
        <w:spacing w:line="480" w:lineRule="exact"/>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变更后燃烧烟气治理措施与原环评一致。</w:t>
      </w:r>
      <w:r>
        <w:rPr>
          <w:rFonts w:ascii="Times New Roman" w:hAnsi="Times New Roman" w:eastAsia="宋体" w:cs="Times New Roman"/>
          <w:sz w:val="24"/>
          <w:szCs w:val="24"/>
        </w:rPr>
        <w:t>本项目减压炉和导热油炉使用的燃料为天然气和不凝气。</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产生的不凝气通过高效燃烧器喷嘴进入减压炉燃烧。不凝气主要成分为油气（即非甲烷总烃），因此本项目不凝气可以作为减压炉燃料，即保证不凝气的回收利用，可减少天然气的使用量。燃烧废气（主要污染物为SO</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、无害CO</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及水蒸气等）和减压炉燃烧天然气的废气一同通过28m的排气筒排入大气，进入烟气中烟尘、二氧化硫和氮氧化物的排放浓度均可《锅炉大气污染物排放标准》（GB13271-2014）)表4中的燃气锅炉特别排放限值要求。</w:t>
      </w:r>
    </w:p>
    <w:p>
      <w:pPr>
        <w:pStyle w:val="33"/>
        <w:rPr>
          <w:color w:val="auto"/>
        </w:rPr>
      </w:pPr>
      <w:r>
        <w:rPr>
          <w:color w:val="auto"/>
        </w:rPr>
        <w:t>5.1</w:t>
      </w:r>
      <w:r>
        <w:rPr>
          <w:rFonts w:hint="eastAsia"/>
          <w:color w:val="auto"/>
        </w:rPr>
        <w:t>.1.2</w:t>
      </w:r>
      <w:r>
        <w:rPr>
          <w:color w:val="auto"/>
        </w:rPr>
        <w:t xml:space="preserve"> </w:t>
      </w:r>
      <w:r>
        <w:rPr>
          <w:rFonts w:hint="eastAsia"/>
          <w:color w:val="auto"/>
        </w:rPr>
        <w:t>微生物法治理措施</w:t>
      </w:r>
    </w:p>
    <w:p>
      <w:pPr>
        <w:spacing w:line="48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项目变更前，罐区呼吸损耗的废气和污水处理站废气主要采用微生物法处理，项目变更后，治理措施与原环评一致。</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本项目罐区呼吸损耗的废气和污水处理站废气经收集后分别送往各自微生物吸附装置处理后通过15m的排气筒排放。微生物吸附装置主要利用生物法除臭技术。生物法处理有机废气主要是将废气由气态转移到液态或固态表面的液膜上，利用微生物的新陈代谢作用对其进行降解转变为无害的无机物（CO</w:t>
      </w:r>
      <w:r>
        <w:rPr>
          <w:rFonts w:hint="eastAsia" w:ascii="Times New Roman" w:hAnsi="Times New Roman" w:eastAsia="宋体"/>
          <w:spacing w:val="-3"/>
          <w:sz w:val="24"/>
          <w:szCs w:val="24"/>
          <w:vertAlign w:val="subscript"/>
        </w:rPr>
        <w:t>2</w:t>
      </w:r>
      <w:r>
        <w:rPr>
          <w:rFonts w:hint="eastAsia" w:ascii="Times New Roman" w:hAnsi="Times New Roman" w:eastAsia="宋体"/>
          <w:spacing w:val="-3"/>
          <w:sz w:val="24"/>
          <w:szCs w:val="24"/>
        </w:rPr>
        <w:t>、H</w:t>
      </w:r>
      <w:r>
        <w:rPr>
          <w:rFonts w:hint="eastAsia" w:ascii="Times New Roman" w:hAnsi="Times New Roman" w:eastAsia="宋体"/>
          <w:spacing w:val="-3"/>
          <w:sz w:val="24"/>
          <w:szCs w:val="24"/>
          <w:vertAlign w:val="subscript"/>
        </w:rPr>
        <w:t>2</w:t>
      </w:r>
      <w:r>
        <w:rPr>
          <w:rFonts w:hint="eastAsia" w:ascii="Times New Roman" w:hAnsi="Times New Roman" w:eastAsia="宋体"/>
          <w:spacing w:val="-3"/>
          <w:sz w:val="24"/>
          <w:szCs w:val="24"/>
        </w:rPr>
        <w:t>O）、有机小分子以及自身细胞组成物质，进而使有机废气得以净化。主要反应过程可如下表达：</w:t>
      </w:r>
    </w:p>
    <w:p>
      <w:pPr>
        <w:spacing w:line="480" w:lineRule="exact"/>
        <w:jc w:val="center"/>
        <w:rPr>
          <w:rFonts w:ascii="Times New Roman" w:hAnsi="Times New Roman" w:eastAsia="宋体" w:cs="Times New Roman"/>
          <w:kern w:val="0"/>
          <w:sz w:val="24"/>
          <w:szCs w:val="24"/>
        </w:rPr>
      </w:pPr>
      <w:r>
        <w:rPr>
          <w:rFonts w:ascii="Times New Roman" w:hAnsi="Times New Roman" w:eastAsia="宋体" w:cs="Times New Roman"/>
          <w:spacing w:val="-3"/>
          <w:kern w:val="0"/>
          <w:sz w:val="24"/>
          <w:szCs w:val="24"/>
        </w:rPr>
        <w:t>VOC + O</w:t>
      </w:r>
      <w:r>
        <w:rPr>
          <w:rFonts w:ascii="Times New Roman" w:hAnsi="Times New Roman" w:eastAsia="宋体" w:cs="Times New Roman"/>
          <w:spacing w:val="-3"/>
          <w:kern w:val="0"/>
          <w:sz w:val="24"/>
          <w:szCs w:val="24"/>
          <w:vertAlign w:val="subscript"/>
        </w:rPr>
        <w:t>2</w:t>
      </w:r>
      <w:r>
        <w:rPr>
          <w:rFonts w:ascii="Times New Roman" w:hAnsi="Times New Roman" w:eastAsia="宋体" w:cs="Times New Roman"/>
          <w:spacing w:val="-3"/>
          <w:kern w:val="0"/>
          <w:sz w:val="24"/>
          <w:szCs w:val="24"/>
        </w:rPr>
        <w:t>→ 细胞代谢物+ CO</w:t>
      </w:r>
      <w:r>
        <w:rPr>
          <w:rFonts w:ascii="Times New Roman" w:hAnsi="Times New Roman" w:eastAsia="宋体" w:cs="Times New Roman"/>
          <w:spacing w:val="-3"/>
          <w:kern w:val="0"/>
          <w:sz w:val="24"/>
          <w:szCs w:val="24"/>
          <w:vertAlign w:val="subscript"/>
        </w:rPr>
        <w:t>2</w:t>
      </w:r>
      <w:r>
        <w:rPr>
          <w:rFonts w:ascii="Times New Roman" w:hAnsi="Times New Roman" w:eastAsia="宋体" w:cs="Times New Roman"/>
          <w:spacing w:val="-3"/>
          <w:kern w:val="0"/>
          <w:sz w:val="24"/>
          <w:szCs w:val="24"/>
        </w:rPr>
        <w:t xml:space="preserve"> + H</w:t>
      </w:r>
      <w:r>
        <w:rPr>
          <w:rFonts w:ascii="Times New Roman" w:hAnsi="Times New Roman" w:eastAsia="宋体" w:cs="Times New Roman"/>
          <w:spacing w:val="-3"/>
          <w:kern w:val="0"/>
          <w:sz w:val="24"/>
          <w:szCs w:val="24"/>
          <w:vertAlign w:val="subscript"/>
        </w:rPr>
        <w:t>2</w:t>
      </w:r>
      <w:r>
        <w:rPr>
          <w:rFonts w:ascii="Times New Roman" w:hAnsi="Times New Roman" w:eastAsia="宋体" w:cs="Times New Roman"/>
          <w:spacing w:val="-3"/>
          <w:kern w:val="0"/>
          <w:sz w:val="24"/>
          <w:szCs w:val="24"/>
        </w:rPr>
        <w:t>O</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该处理装置克服了物理的再生和化学法可能出现的二次污染问题。它是依靠生长在填料载体上的微生物来处理VOC的系统，本项目罐区呼吸损耗产生的废气和污水处理站收集的有机废气，经微生物吸附装置处理后，可减少约90%的非甲烷总烃的排放，达到《关于全省开展工业企业挥发性有机物专项治理工作中排放建议值的通知》（豫环攻坚办[2017]162号）的推荐限值。</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微生物处理法对硫化氢、氨气等处理效率极高，可达9</w:t>
      </w:r>
      <w:r>
        <w:rPr>
          <w:rFonts w:ascii="Times New Roman" w:hAnsi="Times New Roman" w:eastAsia="宋体"/>
          <w:spacing w:val="-3"/>
          <w:sz w:val="24"/>
          <w:szCs w:val="24"/>
        </w:rPr>
        <w:t>0%</w:t>
      </w:r>
      <w:r>
        <w:rPr>
          <w:rFonts w:hint="eastAsia" w:ascii="Times New Roman" w:hAnsi="Times New Roman" w:eastAsia="宋体"/>
          <w:spacing w:val="-3"/>
          <w:sz w:val="24"/>
          <w:szCs w:val="24"/>
        </w:rPr>
        <w:t>以上。只要把微生物“接种”在合适的载体滤料表面，通过控制微生物适宜生长的条件，让臭气经过，就能产生净化作用。污水处理站的硫化氢、氨气等恶臭气体经处理后达到</w:t>
      </w:r>
      <w:r>
        <w:rPr>
          <w:rFonts w:ascii="Times New Roman" w:hAnsi="Times New Roman" w:eastAsia="宋体"/>
          <w:spacing w:val="-3"/>
          <w:sz w:val="24"/>
          <w:szCs w:val="24"/>
        </w:rPr>
        <w:t>《恶臭污染物排放标准》（GB14554-93）</w:t>
      </w:r>
      <w:r>
        <w:rPr>
          <w:rFonts w:hint="eastAsia" w:ascii="Times New Roman" w:hAnsi="Times New Roman" w:eastAsia="宋体"/>
          <w:spacing w:val="-3"/>
          <w:sz w:val="24"/>
          <w:szCs w:val="24"/>
        </w:rPr>
        <w:t>的排放浓度。</w:t>
      </w:r>
    </w:p>
    <w:p>
      <w:pPr>
        <w:pStyle w:val="33"/>
        <w:rPr>
          <w:color w:val="auto"/>
        </w:rPr>
      </w:pPr>
      <w:bookmarkStart w:id="77" w:name="bookmark4"/>
      <w:r>
        <w:rPr>
          <w:color w:val="auto"/>
        </w:rPr>
        <w:t>5.1</w:t>
      </w:r>
      <w:r>
        <w:rPr>
          <w:rFonts w:hint="eastAsia"/>
          <w:color w:val="auto"/>
        </w:rPr>
        <w:t>.1.3</w:t>
      </w:r>
      <w:r>
        <w:rPr>
          <w:color w:val="auto"/>
        </w:rPr>
        <w:t xml:space="preserve"> </w:t>
      </w:r>
      <w:r>
        <w:rPr>
          <w:rFonts w:hint="eastAsia"/>
          <w:color w:val="auto"/>
        </w:rPr>
        <w:t>非正常工况治理措施</w:t>
      </w:r>
      <w:bookmarkEnd w:id="77"/>
    </w:p>
    <w:p>
      <w:pPr>
        <w:spacing w:line="480" w:lineRule="exact"/>
        <w:ind w:firstLine="470" w:firstLineChars="200"/>
        <w:rPr>
          <w:rFonts w:ascii="Times New Roman" w:hAnsi="Times New Roman" w:eastAsia="宋体"/>
          <w:spacing w:val="-3"/>
          <w:sz w:val="24"/>
          <w:szCs w:val="24"/>
        </w:rPr>
      </w:pPr>
      <w:r>
        <w:rPr>
          <w:rFonts w:hint="eastAsia" w:ascii="Times New Roman" w:hAnsi="Times New Roman" w:eastAsia="宋体"/>
          <w:b/>
          <w:spacing w:val="-3"/>
          <w:sz w:val="24"/>
          <w:szCs w:val="24"/>
        </w:rPr>
        <w:t>变更后非正常工况治理措施与原环评一致。</w:t>
      </w:r>
      <w:r>
        <w:rPr>
          <w:rFonts w:hint="eastAsia" w:ascii="Times New Roman" w:hAnsi="Times New Roman" w:eastAsia="宋体"/>
          <w:spacing w:val="-3"/>
          <w:sz w:val="24"/>
          <w:szCs w:val="24"/>
        </w:rPr>
        <w:t>为满足系统开停车和事故状态下各工艺装罝的排放物安全可靠地</w:t>
      </w:r>
      <w:r>
        <w:rPr>
          <w:rFonts w:ascii="Times New Roman" w:hAnsi="Times New Roman" w:eastAsia="宋体"/>
          <w:spacing w:val="-3"/>
          <w:sz w:val="24"/>
          <w:szCs w:val="24"/>
        </w:rPr>
        <w:t>得到燃烧，减少对大气环境的污染和保证人身安全，设罝地面火炬系统。地面</w:t>
      </w:r>
      <w:r>
        <w:rPr>
          <w:rFonts w:hint="eastAsia" w:ascii="Times New Roman" w:hAnsi="Times New Roman" w:eastAsia="宋体"/>
          <w:spacing w:val="-3"/>
          <w:sz w:val="24"/>
          <w:szCs w:val="24"/>
        </w:rPr>
        <w:t>火炬采用一座钢制燃烧塔放散燃烧，由火炬筒体、燃烧器、长明灯、点火器、分液罐、水封罐等组成。</w:t>
      </w:r>
      <w:r>
        <w:rPr>
          <w:rFonts w:ascii="Times New Roman" w:hAnsi="Times New Roman" w:eastAsia="宋体"/>
          <w:spacing w:val="-3"/>
          <w:sz w:val="24"/>
          <w:szCs w:val="24"/>
        </w:rPr>
        <w:t>燃烧塔外侧设置有混凝土式防风墙，防风墙直径10m，高度6m，燃烧塔设计为自吸式负压燃烧，塔体采用钢结构，内衬耐高温陶瓷纤维模块，耐热温度1200</w:t>
      </w:r>
      <w:r>
        <w:rPr>
          <w:rFonts w:hint="eastAsia" w:ascii="Times New Roman" w:hAnsi="Times New Roman" w:eastAsia="宋体"/>
          <w:spacing w:val="-3"/>
          <w:sz w:val="24"/>
          <w:szCs w:val="24"/>
        </w:rPr>
        <w:t>℃</w:t>
      </w:r>
      <w:r>
        <w:rPr>
          <w:rFonts w:ascii="Times New Roman" w:hAnsi="Times New Roman" w:eastAsia="宋体"/>
          <w:spacing w:val="-3"/>
          <w:sz w:val="24"/>
          <w:szCs w:val="24"/>
        </w:rPr>
        <w:t>。设计处理规模为20t/h，装置开工和停工以及非正常工况时使用。</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本项目地面火炬系统为全天候、全自动控制、无人值守型。设置有自动点火和就地手动点火。燃烧塔体内设置</w:t>
      </w:r>
      <w:r>
        <w:rPr>
          <w:rFonts w:ascii="Times New Roman" w:hAnsi="Times New Roman" w:eastAsia="宋体"/>
          <w:spacing w:val="-3"/>
          <w:sz w:val="24"/>
          <w:szCs w:val="24"/>
        </w:rPr>
        <w:t>3套长明灯，每只长明灯设置有热电偶火焰检测装置。充分保证点火的可靠性（100%）。燃烧塔的第一级长明灯还设置工业摄像头，对长明灯的燃烧状态进行检测，燃烧塔底部还设置有可燃气体报警仪。</w:t>
      </w:r>
    </w:p>
    <w:p>
      <w:pPr>
        <w:spacing w:before="80" w:after="80" w:line="520" w:lineRule="exact"/>
        <w:outlineLvl w:val="2"/>
        <w:rPr>
          <w:rFonts w:ascii="Times New Roman" w:hAnsi="Times New Roman" w:eastAsia="楷体" w:cs="Times New Roman"/>
          <w:sz w:val="28"/>
          <w:szCs w:val="28"/>
        </w:rPr>
      </w:pPr>
      <w:bookmarkStart w:id="78" w:name="bookmark5"/>
      <w:bookmarkStart w:id="79" w:name="_Toc8391570"/>
      <w:bookmarkStart w:id="80" w:name="_Toc512973643"/>
      <w:r>
        <w:rPr>
          <w:rFonts w:ascii="Times New Roman" w:hAnsi="Times New Roman" w:eastAsia="楷体" w:cs="Times New Roman"/>
          <w:sz w:val="28"/>
          <w:szCs w:val="28"/>
        </w:rPr>
        <w:t>5</w:t>
      </w:r>
      <w:r>
        <w:rPr>
          <w:rFonts w:hint="eastAsia" w:ascii="Times New Roman" w:hAnsi="Times New Roman" w:eastAsia="楷体" w:cs="Times New Roman"/>
          <w:sz w:val="28"/>
          <w:szCs w:val="28"/>
        </w:rPr>
        <w:t>.</w:t>
      </w:r>
      <w:r>
        <w:rPr>
          <w:rFonts w:ascii="Times New Roman" w:hAnsi="Times New Roman" w:eastAsia="楷体" w:cs="Times New Roman"/>
          <w:sz w:val="28"/>
          <w:szCs w:val="28"/>
        </w:rPr>
        <w:t>1</w:t>
      </w:r>
      <w:r>
        <w:rPr>
          <w:rFonts w:hint="eastAsia" w:ascii="Times New Roman" w:hAnsi="Times New Roman" w:eastAsia="楷体" w:cs="Times New Roman"/>
          <w:sz w:val="28"/>
          <w:szCs w:val="28"/>
        </w:rPr>
        <w:t>.2无组织排放控制措施</w:t>
      </w:r>
      <w:bookmarkEnd w:id="78"/>
      <w:bookmarkEnd w:id="79"/>
      <w:bookmarkEnd w:id="80"/>
    </w:p>
    <w:p>
      <w:pPr>
        <w:spacing w:line="480" w:lineRule="exact"/>
        <w:ind w:firstLine="470" w:firstLineChars="200"/>
        <w:rPr>
          <w:rFonts w:ascii="Times New Roman" w:hAnsi="Times New Roman" w:eastAsia="宋体"/>
          <w:spacing w:val="-3"/>
          <w:sz w:val="24"/>
          <w:szCs w:val="24"/>
        </w:rPr>
      </w:pPr>
      <w:r>
        <w:rPr>
          <w:rFonts w:hint="eastAsia" w:ascii="Times New Roman" w:hAnsi="Times New Roman" w:eastAsia="宋体"/>
          <w:b/>
          <w:spacing w:val="-3"/>
          <w:sz w:val="24"/>
          <w:szCs w:val="24"/>
        </w:rPr>
        <w:t>变更后无组织排放控制措施与原环评一致。</w:t>
      </w:r>
      <w:r>
        <w:rPr>
          <w:rFonts w:hint="eastAsia" w:ascii="Times New Roman" w:hAnsi="Times New Roman" w:eastAsia="宋体"/>
          <w:spacing w:val="-3"/>
          <w:sz w:val="24"/>
          <w:szCs w:val="24"/>
        </w:rPr>
        <w:t>本项目无组织排放主要来自生产过程中的“跑、冒、滴、漏”，主要来源于装置的管道、阀门等的“跑、冒、滴、漏”，在生产装置、储运罐区等环节均有可能出现无组织排放。无组织排放的主要污染物是非甲烷总烃。</w:t>
      </w:r>
    </w:p>
    <w:p>
      <w:pPr>
        <w:pStyle w:val="33"/>
        <w:rPr>
          <w:color w:val="auto"/>
        </w:rPr>
      </w:pPr>
      <w:r>
        <w:rPr>
          <w:color w:val="auto"/>
        </w:rPr>
        <w:t>5</w:t>
      </w:r>
      <w:r>
        <w:rPr>
          <w:rFonts w:hint="eastAsia"/>
          <w:color w:val="auto"/>
        </w:rPr>
        <w:t>.</w:t>
      </w:r>
      <w:r>
        <w:rPr>
          <w:color w:val="auto"/>
        </w:rPr>
        <w:t>1</w:t>
      </w:r>
      <w:r>
        <w:rPr>
          <w:rFonts w:hint="eastAsia"/>
          <w:color w:val="auto"/>
        </w:rPr>
        <w:t>.2.1本项目生产过程中无组织排放控制措施</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（1）装置及罐区</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本项目原辅材料及大部分产品的挥发性不大，因此原料及产品储罐以拱顶罐为主。液体物料在固定顶储罐内保存，会产生大小呼吸废气，为了减少储罐的大小呼吸废气，储罐区的物料装卸采用双管式物料输送，即设置两条管道与储罐连通，一条是槽车到储罐的物料输送管道，另一条是储罐顶部到槽车的气压平衡管，在物料输送时，物料从槽车输送到储罐，同时储罐物料蒸汽通过另一管道向槽车转移，因此，大大减少了物料输送过程大呼吸的产生。该装置便于控制，密封性好，无泄漏，双管式物料输送可减少装置呼出气体量（大呼吸）的</w:t>
      </w:r>
      <w:r>
        <w:rPr>
          <w:rFonts w:ascii="Times New Roman" w:hAnsi="Times New Roman" w:eastAsia="宋体"/>
          <w:spacing w:val="-3"/>
          <w:sz w:val="24"/>
          <w:szCs w:val="24"/>
        </w:rPr>
        <w:t>85％左右，使装卸过程无组织排</w:t>
      </w:r>
      <w:r>
        <w:rPr>
          <w:rFonts w:hint="eastAsia" w:ascii="Times New Roman" w:hAnsi="Times New Roman" w:eastAsia="宋体"/>
          <w:spacing w:val="-3"/>
          <w:sz w:val="24"/>
          <w:szCs w:val="24"/>
        </w:rPr>
        <w:t>放得到有效控制。</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（2）工艺管线</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含有烃类物质的工艺管线，除与阀门、仪表、设备等连接可采用法兰外，螺纹连接管道均采用密封焊，其检漏井设置井盖封闭；所有输送含烃类物质的工艺管线和设备的排净口都用管帽或法兰盖或丝堵堵上。</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（3）设备</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接触烃类介质的设备法兰及接管法兰的密封面和垫片提高密封等级。所有设备的液面计及视镜加设保护设施。搅拌设备的轴封选择泄漏率低的密封形式。</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所有转动设备进行有效的设计，尽可能防止烃类物料泄漏。对输送烃类介质的泵选用无密封泵（磁力泵、屏蔽泵等）。所有输送工艺物料的离心泵及回转泵应采用机械密封，对输送重组分介质的离心泵及回转泵，应提高密封等级（如增加停车密封，干气密封、串联密封等）。所有转动设备（包括润滑油系统）都提供一体化的集液盘或集液盆式底座，并应能将集液全部收集并密闭集中输送。</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（4）轻油采样</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使用密闭的自动采样器。</w:t>
      </w:r>
    </w:p>
    <w:p>
      <w:pPr>
        <w:pStyle w:val="33"/>
        <w:rPr>
          <w:color w:val="auto"/>
        </w:rPr>
      </w:pPr>
      <w:r>
        <w:rPr>
          <w:color w:val="auto"/>
        </w:rPr>
        <w:t>5</w:t>
      </w:r>
      <w:r>
        <w:rPr>
          <w:rFonts w:hint="eastAsia"/>
          <w:color w:val="auto"/>
        </w:rPr>
        <w:t>.</w:t>
      </w:r>
      <w:r>
        <w:rPr>
          <w:color w:val="auto"/>
        </w:rPr>
        <w:t>1</w:t>
      </w:r>
      <w:r>
        <w:rPr>
          <w:rFonts w:hint="eastAsia"/>
          <w:color w:val="auto"/>
        </w:rPr>
        <w:t>.2.2装卸过程无组织排放控制和管理</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油品装车有油品的喷洒、搅动和油品置换出的油气，污染装油栈台和周围环境，影响人的健康，所以设置油气回收设施、减少装车损耗很重要。</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（1）采用从油罐车的罐底部装油</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底部装车系统是具有全油品（根据油臂数量和来油牌号可选油品种类）同时灌装的，符合</w:t>
      </w:r>
      <w:r>
        <w:rPr>
          <w:rFonts w:ascii="Times New Roman" w:hAnsi="Times New Roman" w:eastAsia="宋体"/>
          <w:spacing w:val="-3"/>
          <w:sz w:val="24"/>
          <w:szCs w:val="24"/>
        </w:rPr>
        <w:t>API</w:t>
      </w:r>
      <w:r>
        <w:rPr>
          <w:rFonts w:hint="eastAsia" w:ascii="Times New Roman" w:hAnsi="Times New Roman" w:eastAsia="宋体"/>
          <w:spacing w:val="-3"/>
          <w:sz w:val="24"/>
          <w:szCs w:val="24"/>
        </w:rPr>
        <w:t>最新版本标准的，采用当今世界上的先进技术底部灌装台位的装车系统。系统通常由输油臂及油气回收接头，控制系统，静电接地保护控制装置和防溢出保护控制装置组成。</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底部装车系统是一种密闭灌装方式，灌装速度高，一般达到</w:t>
      </w:r>
      <w:r>
        <w:rPr>
          <w:rFonts w:ascii="Times New Roman" w:hAnsi="Times New Roman" w:eastAsia="宋体"/>
          <w:spacing w:val="-3"/>
          <w:sz w:val="24"/>
          <w:szCs w:val="24"/>
        </w:rPr>
        <w:t>2m3/</w:t>
      </w:r>
      <w:r>
        <w:rPr>
          <w:rFonts w:hint="eastAsia" w:ascii="Times New Roman" w:hAnsi="Times New Roman" w:eastAsia="宋体"/>
          <w:spacing w:val="-3"/>
          <w:sz w:val="24"/>
          <w:szCs w:val="24"/>
        </w:rPr>
        <w:t>分钟；为了避免溢流事故和油罐超压，底部灌装油罐车都装有防溢流传感器，并且灌装台位安装有相应的防溢流联锁装置和定量灌装系统；首先由定量灌装系统精确的控制灌装量，当发生错误时，由底部灌装油罐车的防溢流传感器发出信号，由安装在灌装台位上的防溢流联锁装置控制定量灌装控制系统立即停止灌装过程。</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（2）采用密闭装车和油气回收装置</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本项目</w:t>
      </w:r>
      <w:r>
        <w:rPr>
          <w:rFonts w:ascii="Times New Roman" w:hAnsi="Times New Roman" w:eastAsia="宋体"/>
          <w:spacing w:val="-3"/>
          <w:sz w:val="24"/>
          <w:szCs w:val="24"/>
        </w:rPr>
        <w:t>对罐区的储罐呼吸口均安装套管，对储罐收油时产生的大呼吸废气</w:t>
      </w:r>
      <w:r>
        <w:rPr>
          <w:rFonts w:hint="eastAsia" w:ascii="Times New Roman" w:hAnsi="Times New Roman" w:eastAsia="宋体"/>
          <w:spacing w:val="-3"/>
          <w:sz w:val="24"/>
          <w:szCs w:val="24"/>
        </w:rPr>
        <w:t>采用冷凝法油气回收系统</w:t>
      </w:r>
      <w:r>
        <w:rPr>
          <w:rFonts w:ascii="Times New Roman" w:hAnsi="Times New Roman" w:eastAsia="宋体"/>
          <w:spacing w:val="-3"/>
          <w:sz w:val="24"/>
          <w:szCs w:val="24"/>
        </w:rPr>
        <w:t>进行收集。</w:t>
      </w:r>
      <w:r>
        <w:rPr>
          <w:rFonts w:hint="eastAsia" w:ascii="Times New Roman" w:hAnsi="Times New Roman" w:eastAsia="宋体"/>
          <w:spacing w:val="-3"/>
          <w:sz w:val="24"/>
          <w:szCs w:val="24"/>
        </w:rPr>
        <w:t>该方法使油气</w:t>
      </w:r>
      <w:r>
        <w:fldChar w:fldCharType="begin"/>
      </w:r>
      <w:r>
        <w:instrText xml:space="preserve"> HYPERLINK "http://wenwen.soso.com/z/Search.e?sp=S%E5%9B%9E%E6%94%B6%E7%8E%87&amp;ch=w.search.yjjlink&amp;cid=w.search.yjjlink" </w:instrText>
      </w:r>
      <w:r>
        <w:fldChar w:fldCharType="separate"/>
      </w:r>
      <w:r>
        <w:rPr>
          <w:rFonts w:hint="eastAsia" w:ascii="Times New Roman" w:hAnsi="Times New Roman" w:eastAsia="宋体"/>
          <w:spacing w:val="-3"/>
          <w:sz w:val="24"/>
          <w:szCs w:val="24"/>
        </w:rPr>
        <w:t>回收率</w:t>
      </w:r>
      <w:r>
        <w:rPr>
          <w:rFonts w:hint="eastAsia" w:ascii="Times New Roman" w:hAnsi="Times New Roman" w:eastAsia="宋体"/>
          <w:spacing w:val="-3"/>
          <w:sz w:val="24"/>
          <w:szCs w:val="24"/>
        </w:rPr>
        <w:fldChar w:fldCharType="end"/>
      </w:r>
      <w:r>
        <w:rPr>
          <w:rFonts w:hint="eastAsia" w:ascii="Times New Roman" w:hAnsi="Times New Roman" w:eastAsia="宋体"/>
          <w:spacing w:val="-3"/>
          <w:sz w:val="24"/>
          <w:szCs w:val="24"/>
        </w:rPr>
        <w:t>高达</w:t>
      </w:r>
      <w:r>
        <w:rPr>
          <w:rFonts w:ascii="Times New Roman" w:hAnsi="Times New Roman" w:eastAsia="宋体"/>
          <w:spacing w:val="-3"/>
          <w:sz w:val="24"/>
          <w:szCs w:val="24"/>
        </w:rPr>
        <w:t>99%</w:t>
      </w:r>
      <w:r>
        <w:rPr>
          <w:rFonts w:hint="eastAsia" w:ascii="Times New Roman" w:hAnsi="Times New Roman" w:eastAsia="宋体"/>
          <w:spacing w:val="-3"/>
          <w:sz w:val="24"/>
          <w:szCs w:val="24"/>
        </w:rPr>
        <w:t>以上、油气排气浓度小于</w:t>
      </w:r>
      <w:r>
        <w:rPr>
          <w:rFonts w:ascii="Times New Roman" w:hAnsi="Times New Roman" w:eastAsia="宋体"/>
          <w:spacing w:val="-3"/>
          <w:sz w:val="24"/>
          <w:szCs w:val="24"/>
        </w:rPr>
        <w:t>25g/m</w:t>
      </w:r>
      <w:r>
        <w:rPr>
          <w:rFonts w:ascii="Times New Roman" w:hAnsi="Times New Roman" w:eastAsia="宋体"/>
          <w:spacing w:val="-3"/>
          <w:sz w:val="24"/>
          <w:szCs w:val="24"/>
          <w:vertAlign w:val="superscript"/>
        </w:rPr>
        <w:t>3</w:t>
      </w:r>
      <w:r>
        <w:rPr>
          <w:rFonts w:hint="eastAsia" w:ascii="Times New Roman" w:hAnsi="Times New Roman" w:eastAsia="宋体"/>
          <w:spacing w:val="-3"/>
          <w:sz w:val="24"/>
          <w:szCs w:val="24"/>
        </w:rPr>
        <w:t>，满足《储油库大气污染物排放标准》（</w:t>
      </w:r>
      <w:r>
        <w:rPr>
          <w:rFonts w:ascii="Times New Roman" w:hAnsi="Times New Roman" w:eastAsia="宋体"/>
          <w:spacing w:val="-3"/>
          <w:sz w:val="24"/>
          <w:szCs w:val="24"/>
        </w:rPr>
        <w:t>GB20950-2007</w:t>
      </w:r>
      <w:r>
        <w:rPr>
          <w:rFonts w:hint="eastAsia" w:ascii="Times New Roman" w:hAnsi="Times New Roman" w:eastAsia="宋体"/>
          <w:spacing w:val="-3"/>
          <w:sz w:val="24"/>
          <w:szCs w:val="24"/>
        </w:rPr>
        <w:t>）油气处理的要求。</w:t>
      </w:r>
    </w:p>
    <w:p>
      <w:pPr>
        <w:pStyle w:val="33"/>
        <w:rPr>
          <w:color w:val="auto"/>
        </w:rPr>
      </w:pPr>
      <w:r>
        <w:rPr>
          <w:color w:val="auto"/>
        </w:rPr>
        <w:t>5</w:t>
      </w:r>
      <w:r>
        <w:rPr>
          <w:rFonts w:hint="eastAsia"/>
          <w:color w:val="auto"/>
        </w:rPr>
        <w:t>.</w:t>
      </w:r>
      <w:r>
        <w:rPr>
          <w:color w:val="auto"/>
        </w:rPr>
        <w:t>1</w:t>
      </w:r>
      <w:r>
        <w:rPr>
          <w:rFonts w:hint="eastAsia"/>
          <w:color w:val="auto"/>
        </w:rPr>
        <w:t>.2.3</w:t>
      </w:r>
      <w:r>
        <w:rPr>
          <w:color w:val="auto"/>
        </w:rPr>
        <w:t>其他无组织废气防治措施</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废气无组织排放主要来源于生产及储运过程物料挥发逸散以及密封失效点物料的跑冒滴漏，为减少全厂的废气无组织排放，拟建项目拟采取如下无组织排放控制措施。</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①选择合适大小的储罐，储罐涂层尽量选择浅色系，最好选择白色，可减少储罐的小呼吸废气；</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②罐区呼吸排放量与环境温度变化大小成正比，所以控制罐体周围环境温度剧烈变化可降低液体的呼吸排放，如夏天经常在罐区洒水降温，储罐外壳使用隔热材料，降低储罐温度，减少罐区呼吸损耗；</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③强化物料调度手段，尽可能使储罐装满到允许高度，减少罐内空间，降低物料的挥发损耗；</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④加强储罐呼吸阀和液压安全阀的检查、维护、使用和管理，正常发挥呼吸阀和液压阀降低呼吸排放的作用，强化储罐的日常操作管理，加强对阻火器、机械呼吸阀瓣等设备的日常检查，使气密性符合要求；</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⑤本项目液体物料均采用耐腐蚀密闭管道进行输送。</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管道选择聚四氟乙烯为衬里的钢管或钢骨架塑料复合管等耐腐蚀、密封性能良好的管道，减少渗漏、泄漏等；尽量减少管道之间的连接，管道连接处法兰、阀门等可能泄漏的部位，使用合适的垫片，加强日常巡检和定期维护管理，减小连接处泄漏的可能性，确保物料输送过程无组织排放得到有效控制。</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⑥污水处理站操作间、危险废弃物仓库等位置设置有全面或局部排风系统，排风设备为屋顶自然通风器或屋顶轴流通风机，进风方式为通过门、窗等缝隙的自然进风。门体选用钢板，窗选用铝合金。表面平渭坚固厚实，两侧及中缝条装有密封条，关闭时紧贴门框，密封性良好，快速开启时将空气流通量减少到最低程度，减少污水处理站操作间、危废暂存库无组织废气排放浓度。</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⑦在生产车间周围及厂区四周进行植被绿化等措施。</w:t>
      </w:r>
    </w:p>
    <w:p>
      <w:pPr>
        <w:spacing w:line="480" w:lineRule="exact"/>
        <w:ind w:firstLine="468" w:firstLineChars="200"/>
        <w:rPr>
          <w:rFonts w:ascii="Times New Roman" w:hAnsi="Times New Roman" w:eastAsia="宋体"/>
          <w:spacing w:val="-3"/>
          <w:sz w:val="24"/>
          <w:szCs w:val="24"/>
        </w:rPr>
      </w:pPr>
      <w:r>
        <w:rPr>
          <w:rFonts w:hint="eastAsia" w:ascii="Times New Roman" w:hAnsi="Times New Roman" w:eastAsia="宋体"/>
          <w:spacing w:val="-3"/>
          <w:sz w:val="24"/>
          <w:szCs w:val="24"/>
        </w:rPr>
        <w:t>通过采取上述措施，可有效控制生产过程的无组织排放，可将排放量降低至很小。在厂界处能够达到无组织排放监控浓度限值的要求。在做好各项无组织防治措施的情况下，少量无组织废气的排放对厂界外环境的影响可降至最低。</w:t>
      </w:r>
    </w:p>
    <w:p>
      <w:pPr>
        <w:pStyle w:val="33"/>
        <w:rPr>
          <w:color w:val="auto"/>
        </w:rPr>
      </w:pPr>
      <w:r>
        <w:rPr>
          <w:color w:val="auto"/>
        </w:rPr>
        <w:t>5</w:t>
      </w:r>
      <w:r>
        <w:rPr>
          <w:rFonts w:hint="eastAsia"/>
          <w:color w:val="auto"/>
        </w:rPr>
        <w:t>.</w:t>
      </w:r>
      <w:r>
        <w:rPr>
          <w:color w:val="auto"/>
        </w:rPr>
        <w:t>1</w:t>
      </w:r>
      <w:r>
        <w:rPr>
          <w:rFonts w:hint="eastAsia"/>
          <w:color w:val="auto"/>
        </w:rPr>
        <w:t>.2.4泄漏检测与修复（简称LDAR）</w:t>
      </w:r>
    </w:p>
    <w:p>
      <w:pPr>
        <w:spacing w:line="480" w:lineRule="exact"/>
        <w:ind w:firstLine="468" w:firstLineChars="200"/>
        <w:rPr>
          <w:rFonts w:ascii="Times New Roman" w:hAnsi="Times New Roman" w:eastAsia="黑体" w:cs="Times New Roman"/>
          <w:szCs w:val="24"/>
        </w:rPr>
      </w:pPr>
      <w:r>
        <w:rPr>
          <w:rFonts w:ascii="Times New Roman" w:hAnsi="Times New Roman" w:eastAsia="宋体"/>
          <w:spacing w:val="-3"/>
          <w:sz w:val="24"/>
          <w:szCs w:val="24"/>
        </w:rPr>
        <w:t>对于</w:t>
      </w:r>
      <w:r>
        <w:rPr>
          <w:rFonts w:hint="eastAsia" w:ascii="Times New Roman" w:hAnsi="Times New Roman" w:eastAsia="宋体"/>
          <w:spacing w:val="-3"/>
          <w:sz w:val="24"/>
          <w:szCs w:val="24"/>
        </w:rPr>
        <w:t>挥发性气体</w:t>
      </w:r>
      <w:r>
        <w:rPr>
          <w:rFonts w:ascii="Times New Roman" w:hAnsi="Times New Roman" w:eastAsia="宋体"/>
          <w:spacing w:val="-3"/>
          <w:sz w:val="24"/>
          <w:szCs w:val="24"/>
        </w:rPr>
        <w:t>可能出现的泄露问题，建设单位采取泄漏检测与修复技术对气体进行泄漏检测与修复。原料中间体存放区、生产车间、输送管道、生产装置、中间罐、采样口等以及任何易产生挥发性气体泄漏的场所和所有挥发性气体排放源</w:t>
      </w:r>
      <w:r>
        <w:rPr>
          <w:rFonts w:hint="eastAsia" w:ascii="Times New Roman" w:hAnsi="Times New Roman" w:eastAsia="宋体"/>
          <w:spacing w:val="-3"/>
          <w:sz w:val="24"/>
          <w:szCs w:val="24"/>
        </w:rPr>
        <w:t>，</w:t>
      </w:r>
      <w:r>
        <w:rPr>
          <w:rFonts w:ascii="Times New Roman" w:hAnsi="Times New Roman" w:eastAsia="宋体"/>
          <w:spacing w:val="-3"/>
          <w:sz w:val="24"/>
          <w:szCs w:val="24"/>
        </w:rPr>
        <w:t>以及阀门、法兰及其他管道连接设备、泵、压缩机及压缩机密封系统放气管、卸压装置、开口阀门、搅拌器密封口、通道门密封等易产生挥发性有机物泄漏的设备的泄漏排放。泄漏检测与修复（简称LDAR）是指对工业生产全过程挥发性有机物物料逸散、泄漏进行控制的系统工程。该技术采用固定或移动检测仪器，定量检测易产生挥发性气体泄漏的场所和所有挥发性气体排放源，从而控制VOCs逸散、泄漏排放，减少对环境造成的污染。</w:t>
      </w:r>
    </w:p>
    <w:p>
      <w:pPr>
        <w:pStyle w:val="33"/>
        <w:rPr>
          <w:color w:val="auto"/>
        </w:rPr>
      </w:pPr>
      <w:r>
        <w:rPr>
          <w:color w:val="auto"/>
        </w:rPr>
        <w:t>5</w:t>
      </w:r>
      <w:r>
        <w:rPr>
          <w:rFonts w:hint="eastAsia"/>
          <w:color w:val="auto"/>
        </w:rPr>
        <w:t>.</w:t>
      </w:r>
      <w:r>
        <w:rPr>
          <w:color w:val="auto"/>
        </w:rPr>
        <w:t>1</w:t>
      </w:r>
      <w:r>
        <w:rPr>
          <w:rFonts w:hint="eastAsia"/>
          <w:color w:val="auto"/>
        </w:rPr>
        <w:t>.2.5</w:t>
      </w:r>
      <w:r>
        <w:rPr>
          <w:color w:val="auto"/>
        </w:rPr>
        <w:t xml:space="preserve"> </w:t>
      </w:r>
      <w:r>
        <w:rPr>
          <w:rFonts w:hint="eastAsia"/>
          <w:color w:val="auto"/>
        </w:rPr>
        <w:t>泵类、物料输送、阀门等单元挥发性有机物废气无组织排放控制措施</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w:t>
      </w:r>
      <w:r>
        <w:rPr>
          <w:rFonts w:ascii="Times New Roman" w:hAnsi="Times New Roman" w:eastAsia="宋体" w:cs="Times New Roman"/>
          <w:sz w:val="24"/>
          <w:szCs w:val="24"/>
        </w:rPr>
        <w:t>环办大气函[2017]565号</w:t>
      </w:r>
      <w:r>
        <w:rPr>
          <w:rFonts w:hint="eastAsia" w:ascii="Times New Roman" w:hAnsi="Times New Roman" w:eastAsia="宋体" w:cs="Times New Roman"/>
          <w:sz w:val="24"/>
          <w:szCs w:val="24"/>
        </w:rPr>
        <w:t>，关于征求《挥发性有机物无组织排放控制标准》（征求意见稿）等两项国家环境保护标准意见的函中《挥发性有机物无组织排放控制标准》（征求意见稿）的要求，制定以下有效措施：</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（1）加强泄漏检测</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①企业应按下列频次对设备与管线组件的动静密封点进行VOCs泄漏检测：</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w:t>
      </w:r>
      <w:r>
        <w:rPr>
          <w:rFonts w:hint="eastAsia" w:ascii="Times New Roman" w:hAnsi="Times New Roman" w:eastAsia="宋体" w:cs="Times New Roman"/>
          <w:sz w:val="24"/>
          <w:szCs w:val="24"/>
        </w:rPr>
        <w:t>对设备与管线组件的密封点应每日进行目视观察，检查其密封处是否出现滴液迹象。</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b</w:t>
      </w:r>
      <w:r>
        <w:rPr>
          <w:rFonts w:ascii="Times New Roman" w:hAnsi="Times New Roman" w:eastAsia="宋体" w:cs="Times New Roman"/>
          <w:sz w:val="24"/>
          <w:szCs w:val="24"/>
        </w:rPr>
        <w:t>.</w:t>
      </w:r>
      <w:r>
        <w:rPr>
          <w:rFonts w:hint="eastAsia" w:ascii="Times New Roman" w:hAnsi="Times New Roman" w:eastAsia="宋体" w:cs="Times New Roman"/>
          <w:sz w:val="24"/>
          <w:szCs w:val="24"/>
        </w:rPr>
        <w:t>对泵、压缩机的轴封等动密封点每季度检测一次；连续两个季度动密封点检测泄漏率低于0.2%，可延长至每半年检测一次。若最近一次检测的泄漏率高于0.2%，则恢复每季度检测一次。</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c</w:t>
      </w:r>
      <w:r>
        <w:rPr>
          <w:rFonts w:ascii="Times New Roman" w:hAnsi="Times New Roman" w:eastAsia="宋体" w:cs="Times New Roman"/>
          <w:sz w:val="24"/>
          <w:szCs w:val="24"/>
        </w:rPr>
        <w:t>.</w:t>
      </w:r>
      <w:r>
        <w:rPr>
          <w:rFonts w:hint="eastAsia" w:ascii="Times New Roman" w:hAnsi="Times New Roman" w:eastAsia="宋体" w:cs="Times New Roman"/>
          <w:sz w:val="24"/>
          <w:szCs w:val="24"/>
        </w:rPr>
        <w:t>对设备与管线组件的静密封点每半年检测一次；连续一年静密封点检测泄漏率低于0.05%，可延长至每年检测一次。若最近一次检测的泄漏率高于0.05%，则恢复每半年检测一次。</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d</w:t>
      </w:r>
      <w:r>
        <w:rPr>
          <w:rFonts w:ascii="Times New Roman" w:hAnsi="Times New Roman" w:eastAsia="宋体" w:cs="Times New Roman"/>
          <w:sz w:val="24"/>
          <w:szCs w:val="24"/>
        </w:rPr>
        <w:t>.</w:t>
      </w:r>
      <w:r>
        <w:rPr>
          <w:rFonts w:hint="eastAsia" w:ascii="Times New Roman" w:hAnsi="Times New Roman" w:eastAsia="宋体" w:cs="Times New Roman"/>
          <w:sz w:val="24"/>
          <w:szCs w:val="24"/>
        </w:rPr>
        <w:t>初次开工以及检维修后开始运转的设备与管线组件，应在启用后30日内对其进行第一次检测。</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②用于VOCs输送的阀门和管道连接器应设置在便于泄漏检测的位置。现有存在检测困难的阀门和管道连接器应在最近一次检修期通过变更位置、修建检测平台等措施使其便于检测。</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）泄漏源及时修复</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当发生泄漏时，对泄漏源应予以标识并及时维修。首次维修不得迟于自发现泄漏之日起5日内，修复不得迟于自发现泄漏之日起15日内。首次修复包括（但不限于）以下措施：拧紧填料螺栓或螺母、加注润滑油、确保在设计压力和温度下密封冲洗正常运行。</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）建立泄漏检测台帐</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泄漏检测应建立台账，记录检测时间、检测仪器读数；修复时应记录修复时间和确认已完成修复的时间，记录修复后检测仪器读数，记录保存期限不得少于三年。</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）加强运行控制要求</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①在工艺许可的条件下，开口阀或开口管线应满足下列要求：</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a.配备合适尺寸的盖子、盲板、塞子或二次阀；</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b</w:t>
      </w:r>
      <w:r>
        <w:rPr>
          <w:rFonts w:ascii="Times New Roman" w:hAnsi="Times New Roman" w:eastAsia="宋体" w:cs="Times New Roman"/>
          <w:sz w:val="24"/>
          <w:szCs w:val="24"/>
        </w:rPr>
        <w:t>.</w:t>
      </w:r>
      <w:r>
        <w:rPr>
          <w:rFonts w:hint="eastAsia" w:ascii="Times New Roman" w:hAnsi="Times New Roman" w:eastAsia="宋体" w:cs="Times New Roman"/>
          <w:sz w:val="24"/>
          <w:szCs w:val="24"/>
        </w:rPr>
        <w:t>采用二次阀，应在关闭二次阀之前关闭管线上游的阀门。</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②在工艺许可的条件下，管线连接应满足下列要求：</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公称直径大于等于25 mm 的输送 VOCs 的地上管线不应采用螺纹连接；</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③在工艺许可的条件下，工艺采样应满足下列要求：</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a</w:t>
      </w:r>
      <w:r>
        <w:rPr>
          <w:rFonts w:ascii="Times New Roman" w:hAnsi="Times New Roman" w:eastAsia="宋体" w:cs="Times New Roman"/>
          <w:sz w:val="24"/>
          <w:szCs w:val="24"/>
        </w:rPr>
        <w:t>.</w:t>
      </w:r>
      <w:r>
        <w:rPr>
          <w:rFonts w:hint="eastAsia" w:ascii="Times New Roman" w:hAnsi="Times New Roman" w:eastAsia="宋体" w:cs="Times New Roman"/>
          <w:sz w:val="24"/>
          <w:szCs w:val="24"/>
        </w:rPr>
        <w:t>对有机气体，应采用密闭回路式取样连接系统、在线取样分析系统或连接至废气收集系统。</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b</w:t>
      </w:r>
      <w:r>
        <w:rPr>
          <w:rFonts w:ascii="Times New Roman" w:hAnsi="Times New Roman" w:eastAsia="宋体" w:cs="Times New Roman"/>
          <w:sz w:val="24"/>
          <w:szCs w:val="24"/>
        </w:rPr>
        <w:t>.</w:t>
      </w:r>
      <w:r>
        <w:rPr>
          <w:rFonts w:hint="eastAsia" w:ascii="Times New Roman" w:hAnsi="Times New Roman" w:eastAsia="宋体" w:cs="Times New Roman"/>
          <w:sz w:val="24"/>
          <w:szCs w:val="24"/>
        </w:rPr>
        <w:t>对挥发性有机液体，应采用密闭回路式取样连接系统、在线取样分析系统或连接至废气收集系统。不能采用密闭回路式取样连接系统的，应用密闭容器盛接，并及时回收。</w:t>
      </w:r>
    </w:p>
    <w:p>
      <w:pPr>
        <w:pStyle w:val="39"/>
        <w:rPr>
          <w:color w:val="auto"/>
        </w:rPr>
      </w:pPr>
      <w:bookmarkStart w:id="81" w:name="_Toc512973645"/>
      <w:bookmarkStart w:id="82" w:name="_Toc8391571"/>
      <w:r>
        <w:rPr>
          <w:color w:val="auto"/>
        </w:rPr>
        <w:t>5.2废水</w:t>
      </w:r>
      <w:r>
        <w:rPr>
          <w:rFonts w:hint="eastAsia"/>
          <w:color w:val="auto"/>
        </w:rPr>
        <w:t>污染</w:t>
      </w:r>
      <w:r>
        <w:rPr>
          <w:color w:val="auto"/>
        </w:rPr>
        <w:t>治理措施</w:t>
      </w:r>
      <w:bookmarkEnd w:id="81"/>
      <w:bookmarkEnd w:id="82"/>
    </w:p>
    <w:p>
      <w:pPr>
        <w:spacing w:before="80" w:after="80" w:line="520" w:lineRule="exact"/>
        <w:outlineLvl w:val="2"/>
        <w:rPr>
          <w:rFonts w:ascii="Times New Roman" w:hAnsi="Times New Roman" w:eastAsia="楷体" w:cs="Times New Roman"/>
          <w:sz w:val="28"/>
          <w:szCs w:val="28"/>
        </w:rPr>
      </w:pPr>
      <w:bookmarkStart w:id="83" w:name="_Toc8391572"/>
      <w:r>
        <w:rPr>
          <w:rFonts w:ascii="Times New Roman" w:hAnsi="Times New Roman" w:eastAsia="楷体" w:cs="Times New Roman"/>
          <w:sz w:val="28"/>
          <w:szCs w:val="28"/>
        </w:rPr>
        <w:t>5.2.1废水治理措施</w:t>
      </w:r>
      <w:bookmarkEnd w:id="83"/>
    </w:p>
    <w:p>
      <w:pPr>
        <w:spacing w:line="480" w:lineRule="exact"/>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变更后，工艺路线中去掉了糠醛精制工序，</w:t>
      </w:r>
      <w:r>
        <w:rPr>
          <w:rFonts w:ascii="Times New Roman" w:hAnsi="Times New Roman" w:eastAsia="宋体" w:cs="Times New Roman"/>
          <w:b/>
          <w:sz w:val="24"/>
          <w:szCs w:val="24"/>
        </w:rPr>
        <w:t>从而</w:t>
      </w:r>
      <w:r>
        <w:rPr>
          <w:rFonts w:hint="eastAsia" w:ascii="Times New Roman" w:hAnsi="Times New Roman" w:eastAsia="宋体" w:cs="Times New Roman"/>
          <w:b/>
          <w:sz w:val="24"/>
          <w:szCs w:val="24"/>
        </w:rPr>
        <w:t>减少了该部分含油废水的产生，在污水处理过程中，经过预处理除油后废水不需再与糠醛精制废水进行混合处理，故建设单位根据变更后的污水处理站的进水水质情况，重新调整了工艺流程</w:t>
      </w:r>
      <w:r>
        <w:rPr>
          <w:rFonts w:hint="eastAsia" w:ascii="Times New Roman" w:hAnsi="Times New Roman" w:eastAsia="宋体" w:cs="Times New Roman"/>
          <w:sz w:val="24"/>
          <w:szCs w:val="24"/>
        </w:rPr>
        <w:t>。本</w:t>
      </w:r>
      <w:r>
        <w:rPr>
          <w:rFonts w:ascii="Times New Roman" w:hAnsi="Times New Roman" w:eastAsia="宋体" w:cs="Times New Roman"/>
          <w:sz w:val="24"/>
          <w:szCs w:val="24"/>
        </w:rPr>
        <w:t>项目</w:t>
      </w:r>
      <w:r>
        <w:rPr>
          <w:rFonts w:hint="eastAsia" w:ascii="宋体" w:hAnsi="宋体" w:eastAsia="宋体" w:cs="Arial"/>
          <w:sz w:val="24"/>
          <w:szCs w:val="24"/>
        </w:rPr>
        <w:t>含油废水（</w:t>
      </w:r>
      <w:r>
        <w:rPr>
          <w:rFonts w:hint="eastAsia" w:ascii="Times New Roman" w:hAnsi="Times New Roman" w:eastAsia="宋体" w:cs="Times New Roman"/>
          <w:sz w:val="24"/>
          <w:szCs w:val="24"/>
        </w:rPr>
        <w:t>预处理含油废水、罐区废水、</w:t>
      </w:r>
      <w:r>
        <w:rPr>
          <w:rFonts w:ascii="Times New Roman" w:hAnsi="Times New Roman" w:eastAsia="宋体" w:cs="Times New Roman"/>
          <w:sz w:val="24"/>
          <w:szCs w:val="24"/>
        </w:rPr>
        <w:t>化验室</w:t>
      </w:r>
      <w:r>
        <w:rPr>
          <w:rFonts w:hint="eastAsia" w:ascii="Times New Roman" w:hAnsi="Times New Roman" w:eastAsia="宋体" w:cs="Times New Roman"/>
          <w:sz w:val="24"/>
          <w:szCs w:val="24"/>
        </w:rPr>
        <w:t>废水、</w:t>
      </w:r>
      <w:r>
        <w:rPr>
          <w:rFonts w:ascii="Times New Roman" w:hAnsi="Times New Roman" w:eastAsia="宋体" w:cs="Times New Roman"/>
          <w:sz w:val="24"/>
          <w:szCs w:val="24"/>
        </w:rPr>
        <w:t>地面</w:t>
      </w:r>
      <w:r>
        <w:rPr>
          <w:rFonts w:hint="eastAsia" w:ascii="Times New Roman" w:hAnsi="Times New Roman" w:eastAsia="宋体" w:cs="Times New Roman"/>
          <w:sz w:val="24"/>
          <w:szCs w:val="24"/>
        </w:rPr>
        <w:t>冲洗水、</w:t>
      </w:r>
      <w:r>
        <w:rPr>
          <w:rFonts w:ascii="Times New Roman" w:hAnsi="Times New Roman" w:eastAsia="宋体" w:cs="Times New Roman"/>
          <w:sz w:val="24"/>
          <w:szCs w:val="24"/>
        </w:rPr>
        <w:t>未预见水</w:t>
      </w:r>
      <w:r>
        <w:rPr>
          <w:rFonts w:ascii="宋体" w:hAnsi="宋体" w:eastAsia="宋体" w:cs="Arial"/>
          <w:sz w:val="24"/>
          <w:szCs w:val="24"/>
        </w:rPr>
        <w:t>）</w:t>
      </w:r>
      <w:r>
        <w:rPr>
          <w:rFonts w:hint="eastAsia" w:ascii="Times New Roman" w:hAnsi="Times New Roman" w:eastAsia="宋体" w:cs="Times New Roman"/>
          <w:kern w:val="0"/>
          <w:sz w:val="24"/>
          <w:szCs w:val="24"/>
        </w:rPr>
        <w:t>首先进行单独除油，采用隔油+气浮工艺，预处理出水与生活污水混合后进行生化处理，</w:t>
      </w:r>
      <w:r>
        <w:rPr>
          <w:rFonts w:ascii="Times New Roman" w:hAnsi="Times New Roman" w:eastAsia="宋体" w:cs="Times New Roman"/>
          <w:kern w:val="0"/>
          <w:sz w:val="24"/>
          <w:szCs w:val="24"/>
        </w:rPr>
        <w:t>采取“调节+</w:t>
      </w:r>
      <w:r>
        <w:rPr>
          <w:rFonts w:hint="eastAsia" w:ascii="Times New Roman" w:hAnsi="Times New Roman" w:eastAsia="宋体" w:cs="Times New Roman"/>
          <w:kern w:val="0"/>
          <w:sz w:val="24"/>
          <w:szCs w:val="24"/>
        </w:rPr>
        <w:t>水解酸化</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 xml:space="preserve"> UASB</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 xml:space="preserve"> A/O</w:t>
      </w:r>
      <w:r>
        <w:rPr>
          <w:rFonts w:ascii="Times New Roman" w:hAnsi="Times New Roman" w:eastAsia="宋体" w:cs="Times New Roman"/>
          <w:kern w:val="0"/>
          <w:sz w:val="24"/>
          <w:szCs w:val="24"/>
        </w:rPr>
        <w:t>”处理工艺。</w:t>
      </w:r>
      <w:r>
        <w:rPr>
          <w:rFonts w:ascii="Times New Roman" w:hAnsi="Times New Roman" w:eastAsia="宋体" w:cs="Times New Roman"/>
          <w:sz w:val="24"/>
          <w:szCs w:val="24"/>
        </w:rPr>
        <w:t>处理后的生产废水</w:t>
      </w:r>
      <w:r>
        <w:rPr>
          <w:rFonts w:hint="eastAsia" w:ascii="Times New Roman" w:hAnsi="Times New Roman" w:eastAsia="宋体" w:cs="Times New Roman"/>
          <w:sz w:val="24"/>
          <w:szCs w:val="24"/>
        </w:rPr>
        <w:t>和生活污水</w:t>
      </w:r>
      <w:r>
        <w:rPr>
          <w:rFonts w:ascii="Times New Roman" w:hAnsi="Times New Roman" w:eastAsia="宋体" w:cs="Times New Roman"/>
          <w:sz w:val="24"/>
          <w:szCs w:val="24"/>
        </w:rPr>
        <w:t>达到</w:t>
      </w:r>
      <w:r>
        <w:rPr>
          <w:rFonts w:hint="eastAsia" w:ascii="Times New Roman" w:hAnsi="Times New Roman" w:eastAsia="宋体" w:cs="Times New Roman"/>
          <w:sz w:val="24"/>
          <w:szCs w:val="24"/>
        </w:rPr>
        <w:t>《污水综合排放标准》（GB8978-1996）表4二级</w:t>
      </w:r>
      <w:r>
        <w:rPr>
          <w:rFonts w:ascii="Times New Roman" w:hAnsi="Times New Roman" w:eastAsia="宋体" w:cs="Times New Roman"/>
          <w:sz w:val="24"/>
          <w:szCs w:val="24"/>
        </w:rPr>
        <w:t>标准及</w:t>
      </w:r>
      <w:r>
        <w:rPr>
          <w:rFonts w:hint="eastAsia" w:ascii="Times New Roman" w:hAnsi="Times New Roman" w:eastAsia="宋体" w:cs="Times New Roman"/>
          <w:sz w:val="24"/>
          <w:szCs w:val="24"/>
        </w:rPr>
        <w:t>濮阳市第二污水处理厂</w:t>
      </w:r>
      <w:r>
        <w:rPr>
          <w:rFonts w:ascii="Times New Roman" w:hAnsi="Times New Roman" w:eastAsia="宋体" w:cs="Times New Roman"/>
          <w:sz w:val="24"/>
          <w:szCs w:val="24"/>
        </w:rPr>
        <w:t>进水水质要求后，</w:t>
      </w:r>
      <w:r>
        <w:rPr>
          <w:rFonts w:hint="eastAsia" w:ascii="Times New Roman" w:hAnsi="Times New Roman" w:eastAsia="宋体" w:cs="Times New Roman"/>
          <w:kern w:val="0"/>
          <w:sz w:val="24"/>
          <w:szCs w:val="24"/>
        </w:rPr>
        <w:t>排入濮阳市第二污水处理厂进行进一步处理，达标后</w:t>
      </w:r>
      <w:r>
        <w:rPr>
          <w:rFonts w:ascii="Times New Roman" w:hAnsi="Times New Roman" w:eastAsia="宋体" w:cs="Times New Roman"/>
          <w:sz w:val="24"/>
          <w:szCs w:val="24"/>
        </w:rPr>
        <w:t>排入</w:t>
      </w:r>
      <w:r>
        <w:rPr>
          <w:rFonts w:hint="eastAsia" w:ascii="Times New Roman" w:hAnsi="Times New Roman" w:eastAsia="宋体" w:cs="Times New Roman"/>
          <w:sz w:val="24"/>
          <w:szCs w:val="24"/>
        </w:rPr>
        <w:t>顺河沟，最终排入马颊河</w:t>
      </w:r>
      <w:r>
        <w:rPr>
          <w:rFonts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根据《关于印发涉水工业企业规范化整治管理要求的通知》（濮环攻坚办〔2017〕92号），建设单位应做到以下措施：</w:t>
      </w:r>
    </w:p>
    <w:p>
      <w:pPr>
        <w:spacing w:line="480" w:lineRule="exact"/>
        <w:ind w:firstLine="480" w:firstLineChars="200"/>
        <w:rPr>
          <w:rFonts w:ascii="宋体" w:hAnsi="宋体" w:eastAsia="宋体" w:cs="Arial"/>
          <w:sz w:val="24"/>
          <w:szCs w:val="24"/>
        </w:rPr>
      </w:pPr>
      <w:r>
        <w:rPr>
          <w:rFonts w:hint="eastAsia" w:ascii="宋体" w:hAnsi="宋体" w:eastAsia="宋体" w:cs="Arial"/>
          <w:sz w:val="24"/>
          <w:szCs w:val="24"/>
        </w:rPr>
        <w:t>一、给水系统管理要求</w:t>
      </w:r>
    </w:p>
    <w:p>
      <w:pPr>
        <w:spacing w:line="480" w:lineRule="exact"/>
        <w:ind w:firstLine="480" w:firstLineChars="200"/>
        <w:rPr>
          <w:rFonts w:ascii="宋体" w:hAnsi="宋体" w:eastAsia="宋体" w:cs="Arial"/>
          <w:sz w:val="24"/>
          <w:szCs w:val="24"/>
        </w:rPr>
      </w:pPr>
      <w:r>
        <w:rPr>
          <w:rFonts w:hint="eastAsia" w:ascii="宋体" w:hAnsi="宋体" w:eastAsia="宋体" w:cs="Arial"/>
          <w:sz w:val="24"/>
          <w:szCs w:val="24"/>
        </w:rPr>
        <w:t>建设单位严禁未经允许私自建设取水设施，所有取水设施均应安装计量装置，并按规定校准和按月实施台账管理，便于与污水产生量及排放量进行校核。</w:t>
      </w:r>
    </w:p>
    <w:p>
      <w:pPr>
        <w:spacing w:line="480" w:lineRule="exact"/>
        <w:ind w:firstLine="480" w:firstLineChars="200"/>
        <w:rPr>
          <w:rFonts w:ascii="宋体" w:hAnsi="宋体" w:eastAsia="宋体" w:cs="Arial"/>
          <w:sz w:val="24"/>
          <w:szCs w:val="24"/>
        </w:rPr>
      </w:pPr>
      <w:r>
        <w:rPr>
          <w:rFonts w:hint="eastAsia" w:ascii="宋体" w:hAnsi="宋体" w:eastAsia="宋体" w:cs="Arial"/>
          <w:sz w:val="24"/>
          <w:szCs w:val="24"/>
        </w:rPr>
        <w:t>二、排水系统建设要求</w:t>
      </w:r>
    </w:p>
    <w:p>
      <w:pPr>
        <w:spacing w:line="480" w:lineRule="exact"/>
        <w:ind w:firstLine="480" w:firstLineChars="200"/>
        <w:rPr>
          <w:rFonts w:ascii="宋体" w:hAnsi="宋体" w:eastAsia="宋体" w:cs="Arial"/>
          <w:sz w:val="24"/>
          <w:szCs w:val="24"/>
        </w:rPr>
      </w:pPr>
      <w:r>
        <w:rPr>
          <w:rFonts w:hint="eastAsia" w:ascii="宋体" w:hAnsi="宋体" w:eastAsia="宋体" w:cs="Arial"/>
          <w:sz w:val="24"/>
          <w:szCs w:val="24"/>
        </w:rPr>
        <w:t>厂区的排水系统必须严格执行“雨污分流、清污分流、明管输送”的原则，做到以下要求：</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企业生产污（废）水必须以明管输送，明管输送可釆用高架压力输送、接地或贴地自流输送，不得隐藏于地面以下。特殊管段需要穿越道路、车间等障碍物或受现场条件限制必须埋设于地面以下的，应全程敷设在设有可开启活动盖板的管沟中，不得实土掩埋，并在地面作出标识；所有污（废）水管网应通过闭水（气）等功能性试验合格后方能投入使用；厂区内雨水必须釆用防渗明沟或暗涵（盖板镂空）收集输送。受场内条件限制必须使用埋地管道输送的，必须在确认雨污分流的前提下，雨水管网经闭水（气）等功能试验合格后方能投入使用，并在集中汇流的雨水检查井进行标识，同时设置方便取样抽检的设施。</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企业要详细绘制厂区雨水、污（废）水管线、生产车间、厂区道路及污染治理设施平面布置图，明确标出雨水和污水管道、各污染治理设施工艺管道、阀门、管井、提升泵等设备的位置和流向、阀门常开/闭状况。平面布置图必须与现场实际相吻合，一经确定，不得擅自改变。因实际生产需要必须进行现场改造的，应当将修改后的平面布置图报环保部门备案。平面布置图将作为环境日常监管的重要资料，除书面留存归档外，要清晰、醒目地张贴于厂区进口处或排污口，便于部门监管和群众监督。</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厂区内的各项污（废）水处理设施、设备，必须在显著位置对构筑物、设施及设备的名称、规格、作用、流向、重要运行参数等内容进行标注，并与现场工艺流程图一一对应。污（废）水管道、处理设施工艺管道，要严格按照《工业管道颜色及标识规范》并参照《城市污水处理厂管道和设备色标》进行色环和文字标识，阀门要加挂“常开”或“常关”标识牌。</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三、排放口设置和监控技术要求</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涉水工业企业必须结合自身特征污染因子，参照《河南省环境保护厅关于做好全省污染源自动监控设施建设运行管理工作的指导意见》〔豫环文〔2016〕316号安装化学需氧量、氨氮、总磷等自动在线监测设施并与环保部门联网运行。</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要规范排污口标识牌标识内容</w:t>
      </w:r>
      <w:r>
        <w:rPr>
          <w:rFonts w:hint="eastAsia" w:ascii="Times New Roman" w:hAnsi="Times New Roman" w:eastAsia="宋体" w:cs="Times New Roman"/>
          <w:sz w:val="24"/>
          <w:szCs w:val="24"/>
        </w:rPr>
        <w:t>，</w:t>
      </w:r>
      <w:r>
        <w:rPr>
          <w:rFonts w:ascii="Times New Roman" w:hAnsi="Times New Roman" w:eastAsia="宋体" w:cs="Times New Roman"/>
          <w:sz w:val="24"/>
          <w:szCs w:val="24"/>
        </w:rPr>
        <w:t>除规定内容外，应列出污</w:t>
      </w:r>
      <w:r>
        <w:rPr>
          <w:rFonts w:hint="eastAsia" w:ascii="Times New Roman" w:hAnsi="Times New Roman" w:eastAsia="宋体" w:cs="Times New Roman"/>
          <w:sz w:val="24"/>
          <w:szCs w:val="24"/>
        </w:rPr>
        <w:t>（废）</w:t>
      </w:r>
      <w:r>
        <w:rPr>
          <w:rFonts w:ascii="Times New Roman" w:hAnsi="Times New Roman" w:eastAsia="宋体" w:cs="Times New Roman"/>
          <w:sz w:val="24"/>
          <w:szCs w:val="24"/>
        </w:rPr>
        <w:t>水排放量、主要污染因子排放量、排放去向、责任人及联系方式等内容，企业要在厂界外设置便于取样监测、便于管理的观测丼或明渠。</w:t>
      </w:r>
    </w:p>
    <w:p>
      <w:pPr>
        <w:spacing w:before="80" w:after="80" w:line="520" w:lineRule="exact"/>
        <w:outlineLvl w:val="2"/>
        <w:rPr>
          <w:rFonts w:ascii="Times New Roman" w:hAnsi="Times New Roman" w:eastAsia="楷体" w:cs="Times New Roman"/>
          <w:sz w:val="28"/>
          <w:szCs w:val="28"/>
        </w:rPr>
      </w:pPr>
      <w:bookmarkStart w:id="84" w:name="bookmark345"/>
      <w:bookmarkStart w:id="85" w:name="_Toc512973646"/>
      <w:bookmarkStart w:id="86" w:name="_Toc8391573"/>
      <w:r>
        <w:rPr>
          <w:rFonts w:ascii="Times New Roman" w:hAnsi="Times New Roman" w:eastAsia="楷体" w:cs="Times New Roman"/>
          <w:sz w:val="28"/>
          <w:szCs w:val="28"/>
        </w:rPr>
        <w:t>5.2.2项目厂区污水处理站简介</w:t>
      </w:r>
      <w:bookmarkEnd w:id="84"/>
      <w:bookmarkEnd w:id="85"/>
      <w:bookmarkEnd w:id="86"/>
    </w:p>
    <w:p>
      <w:pPr>
        <w:pStyle w:val="33"/>
        <w:rPr>
          <w:color w:val="auto"/>
        </w:rPr>
      </w:pPr>
      <w:r>
        <w:rPr>
          <w:color w:val="auto"/>
        </w:rPr>
        <w:t>5</w:t>
      </w:r>
      <w:r>
        <w:rPr>
          <w:rFonts w:hint="eastAsia"/>
          <w:color w:val="auto"/>
        </w:rPr>
        <w:t>.</w:t>
      </w:r>
      <w:r>
        <w:rPr>
          <w:color w:val="auto"/>
        </w:rPr>
        <w:t>2</w:t>
      </w:r>
      <w:r>
        <w:rPr>
          <w:rFonts w:hint="eastAsia"/>
          <w:color w:val="auto"/>
        </w:rPr>
        <w:t>.2.</w:t>
      </w:r>
      <w:r>
        <w:rPr>
          <w:color w:val="auto"/>
        </w:rPr>
        <w:t>1 污水处理站工艺简述</w:t>
      </w:r>
    </w:p>
    <w:p>
      <w:pPr>
        <w:spacing w:line="480" w:lineRule="exact"/>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变更后，工艺路线中去掉了糠醛精制工序，</w:t>
      </w:r>
      <w:r>
        <w:rPr>
          <w:rFonts w:ascii="Times New Roman" w:hAnsi="Times New Roman" w:eastAsia="宋体" w:cs="Times New Roman"/>
          <w:b/>
          <w:sz w:val="24"/>
          <w:szCs w:val="24"/>
        </w:rPr>
        <w:t>从而</w:t>
      </w:r>
      <w:r>
        <w:rPr>
          <w:rFonts w:hint="eastAsia" w:ascii="Times New Roman" w:hAnsi="Times New Roman" w:eastAsia="宋体" w:cs="Times New Roman"/>
          <w:b/>
          <w:sz w:val="24"/>
          <w:szCs w:val="24"/>
        </w:rPr>
        <w:t>减少了该部分含油废水的产生，在污水处理过程中，经过预处理除油后废水不需再与糠醛精制废水进行混合处理，故建设单位根据变更后的污水处理站的进水水质情况，重新调整了工艺流程</w:t>
      </w:r>
      <w:r>
        <w:rPr>
          <w:rFonts w:hint="eastAsia" w:ascii="Times New Roman" w:hAnsi="Times New Roman" w:eastAsia="宋体" w:cs="Times New Roman"/>
          <w:sz w:val="24"/>
          <w:szCs w:val="24"/>
        </w:rPr>
        <w:t>。</w:t>
      </w:r>
      <w:r>
        <w:rPr>
          <w:rFonts w:ascii="Times New Roman" w:hAnsi="Times New Roman" w:eastAsia="宋体" w:cs="Times New Roman"/>
          <w:sz w:val="24"/>
          <w:szCs w:val="24"/>
        </w:rPr>
        <w:t>污水处理站设计处理规模为</w:t>
      </w:r>
      <w:r>
        <w:rPr>
          <w:rFonts w:hint="eastAsia" w:ascii="Times New Roman" w:hAnsi="Times New Roman" w:eastAsia="宋体" w:cs="Times New Roman"/>
          <w:sz w:val="24"/>
          <w:szCs w:val="24"/>
        </w:rPr>
        <w:t>200</w:t>
      </w:r>
      <w:r>
        <w:rPr>
          <w:rFonts w:ascii="Times New Roman" w:hAnsi="Times New Roman" w:eastAsia="宋体" w:cs="Times New Roman"/>
          <w:sz w:val="24"/>
          <w:szCs w:val="24"/>
        </w:rPr>
        <w:t>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/d，处理工艺为“隔油+气浮+</w:t>
      </w:r>
      <w:r>
        <w:rPr>
          <w:rFonts w:hint="eastAsia" w:ascii="Times New Roman" w:hAnsi="Times New Roman" w:eastAsia="宋体" w:cs="Times New Roman"/>
          <w:sz w:val="24"/>
          <w:szCs w:val="24"/>
        </w:rPr>
        <w:t>UASB</w:t>
      </w:r>
      <w:r>
        <w:rPr>
          <w:rFonts w:ascii="Times New Roman" w:hAnsi="Times New Roman" w:eastAsia="宋体" w:cs="Times New Roman"/>
          <w:sz w:val="24"/>
          <w:szCs w:val="24"/>
        </w:rPr>
        <w:t>+</w:t>
      </w:r>
      <w:r>
        <w:rPr>
          <w:rFonts w:hint="eastAsia" w:ascii="Times New Roman" w:hAnsi="Times New Roman" w:eastAsia="宋体" w:cs="Times New Roman"/>
          <w:sz w:val="24"/>
          <w:szCs w:val="24"/>
        </w:rPr>
        <w:t>A/O</w:t>
      </w:r>
      <w:r>
        <w:rPr>
          <w:rFonts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变更前后</w:t>
      </w:r>
      <w:r>
        <w:rPr>
          <w:rFonts w:ascii="Times New Roman" w:hAnsi="Times New Roman" w:eastAsia="宋体" w:cs="Times New Roman"/>
          <w:sz w:val="24"/>
          <w:szCs w:val="24"/>
        </w:rPr>
        <w:t>污水处理工艺</w:t>
      </w:r>
      <w:r>
        <w:rPr>
          <w:rFonts w:hint="eastAsia" w:ascii="Times New Roman" w:hAnsi="Times New Roman" w:eastAsia="宋体" w:cs="Times New Roman"/>
          <w:sz w:val="24"/>
          <w:szCs w:val="24"/>
        </w:rPr>
        <w:t>分别</w:t>
      </w:r>
      <w:r>
        <w:rPr>
          <w:rFonts w:ascii="Times New Roman" w:hAnsi="Times New Roman" w:eastAsia="宋体" w:cs="Times New Roman"/>
          <w:sz w:val="24"/>
          <w:szCs w:val="24"/>
        </w:rPr>
        <w:t>见图5.2-1</w:t>
      </w:r>
      <w:r>
        <w:rPr>
          <w:rFonts w:hint="eastAsia" w:ascii="Times New Roman" w:hAnsi="Times New Roman" w:eastAsia="宋体" w:cs="Times New Roman"/>
          <w:sz w:val="24"/>
          <w:szCs w:val="24"/>
        </w:rPr>
        <w:t>和图5.2.2</w:t>
      </w:r>
      <w:r>
        <w:rPr>
          <w:rFonts w:ascii="Times New Roman" w:hAnsi="Times New Roman" w:eastAsia="宋体" w:cs="Times New Roman"/>
          <w:sz w:val="24"/>
          <w:szCs w:val="24"/>
        </w:rPr>
        <w:t>。</w:t>
      </w:r>
    </w:p>
    <w:p>
      <w:pPr>
        <w:ind w:firstLine="420" w:firstLineChars="200"/>
      </w:pPr>
      <w:r>
        <w:drawing>
          <wp:inline distT="0" distB="0" distL="0" distR="0">
            <wp:extent cx="4630420" cy="2172970"/>
            <wp:effectExtent l="0" t="0" r="0" b="0"/>
            <wp:docPr id="10" name="图片 10" descr="C:\Users\Administrator\Documents\Tencent Files\361458302\FileRecv\MobileFile\Image\}CUOPKNB8V3)]5H1H$T9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ocuments\Tencent Files\361458302\FileRecv\MobileFile\Image\}CUOPKNB8V3)]5H1H$T9F[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06100" cy="2208568"/>
                    </a:xfrm>
                    <a:prstGeom prst="rect">
                      <a:avLst/>
                    </a:prstGeom>
                    <a:noFill/>
                    <a:ln>
                      <a:noFill/>
                    </a:ln>
                  </pic:spPr>
                </pic:pic>
              </a:graphicData>
            </a:graphic>
          </wp:inline>
        </w:drawing>
      </w:r>
    </w:p>
    <w:p>
      <w:pPr>
        <w:jc w:val="center"/>
        <w:rPr>
          <w:rFonts w:ascii="Times New Roman" w:hAnsi="Times New Roman" w:eastAsia="黑体" w:cs="Times New Roman"/>
          <w:sz w:val="24"/>
          <w:szCs w:val="24"/>
        </w:rPr>
      </w:pPr>
      <w:r>
        <w:rPr>
          <w:rFonts w:ascii="Times New Roman" w:hAnsi="Times New Roman" w:eastAsia="黑体" w:cs="Times New Roman"/>
          <w:sz w:val="24"/>
          <w:szCs w:val="24"/>
        </w:rPr>
        <w:t xml:space="preserve">图5.2-1  </w:t>
      </w:r>
      <w:r>
        <w:rPr>
          <w:rFonts w:hint="eastAsia" w:ascii="Times New Roman" w:hAnsi="Times New Roman" w:eastAsia="黑体" w:cs="Times New Roman"/>
          <w:sz w:val="24"/>
          <w:szCs w:val="24"/>
        </w:rPr>
        <w:t>变更前</w:t>
      </w:r>
      <w:r>
        <w:rPr>
          <w:rFonts w:ascii="Times New Roman" w:hAnsi="Times New Roman" w:eastAsia="黑体" w:cs="Times New Roman"/>
          <w:sz w:val="24"/>
          <w:szCs w:val="24"/>
        </w:rPr>
        <w:t>厂区污水处理站工艺流程图</w:t>
      </w:r>
    </w:p>
    <w:p>
      <w:pPr>
        <w:jc w:val="center"/>
      </w:pPr>
      <w:r>
        <w:object>
          <v:shape id="_x0000_i1029" o:spt="75" type="#_x0000_t75" style="height:168pt;width:483.45pt;" o:ole="t" filled="f" o:preferrelative="t" stroked="f" coordsize="21600,21600">
            <v:path/>
            <v:fill on="f" focussize="0,0"/>
            <v:stroke on="f" joinstyle="miter"/>
            <v:imagedata r:id="rId22" o:title=""/>
            <o:lock v:ext="edit" aspectratio="t"/>
            <w10:wrap type="none"/>
            <w10:anchorlock/>
          </v:shape>
          <o:OLEObject Type="Embed" ProgID="Visio.Drawing.11" ShapeID="_x0000_i1029" DrawAspect="Content" ObjectID="_1468075731" r:id="rId21">
            <o:LockedField>false</o:LockedField>
          </o:OLEObject>
        </w:object>
      </w:r>
    </w:p>
    <w:p>
      <w:pPr>
        <w:jc w:val="center"/>
        <w:rPr>
          <w:rFonts w:ascii="Times New Roman" w:hAnsi="Times New Roman" w:eastAsia="黑体" w:cs="Times New Roman"/>
          <w:sz w:val="24"/>
          <w:szCs w:val="24"/>
        </w:rPr>
      </w:pPr>
      <w:bookmarkStart w:id="87" w:name="bookmark346"/>
      <w:r>
        <w:rPr>
          <w:rFonts w:ascii="Times New Roman" w:hAnsi="Times New Roman" w:eastAsia="黑体" w:cs="Times New Roman"/>
          <w:sz w:val="24"/>
          <w:szCs w:val="24"/>
        </w:rPr>
        <w:t xml:space="preserve">图5.2-2  </w:t>
      </w:r>
      <w:r>
        <w:rPr>
          <w:rFonts w:hint="eastAsia" w:ascii="Times New Roman" w:hAnsi="Times New Roman" w:eastAsia="黑体" w:cs="Times New Roman"/>
          <w:sz w:val="24"/>
          <w:szCs w:val="24"/>
        </w:rPr>
        <w:t>变更后</w:t>
      </w:r>
      <w:r>
        <w:rPr>
          <w:rFonts w:ascii="Times New Roman" w:hAnsi="Times New Roman" w:eastAsia="黑体" w:cs="Times New Roman"/>
          <w:sz w:val="24"/>
          <w:szCs w:val="24"/>
        </w:rPr>
        <w:t>厂区污水处理站工艺流程图</w:t>
      </w:r>
      <w:bookmarkEnd w:id="87"/>
    </w:p>
    <w:p>
      <w:pPr>
        <w:spacing w:line="48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变更后</w:t>
      </w:r>
      <w:r>
        <w:rPr>
          <w:rFonts w:ascii="Times New Roman" w:hAnsi="Times New Roman" w:eastAsia="宋体" w:cs="Times New Roman"/>
          <w:b/>
          <w:sz w:val="24"/>
          <w:szCs w:val="24"/>
        </w:rPr>
        <w:t>工艺简述：</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预处理段</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含油污水（预处理含油废水、罐区废水、</w:t>
      </w:r>
      <w:r>
        <w:rPr>
          <w:rFonts w:ascii="Times New Roman" w:hAnsi="Times New Roman" w:eastAsia="宋体" w:cs="Times New Roman"/>
          <w:sz w:val="24"/>
          <w:szCs w:val="24"/>
        </w:rPr>
        <w:t>化验室</w:t>
      </w:r>
      <w:r>
        <w:rPr>
          <w:rFonts w:hint="eastAsia" w:ascii="Times New Roman" w:hAnsi="Times New Roman" w:eastAsia="宋体" w:cs="Times New Roman"/>
          <w:sz w:val="24"/>
          <w:szCs w:val="24"/>
        </w:rPr>
        <w:t>废水、</w:t>
      </w:r>
      <w:r>
        <w:rPr>
          <w:rFonts w:ascii="Times New Roman" w:hAnsi="Times New Roman" w:eastAsia="宋体" w:cs="Times New Roman"/>
          <w:sz w:val="24"/>
          <w:szCs w:val="24"/>
        </w:rPr>
        <w:t>地面</w:t>
      </w:r>
      <w:r>
        <w:rPr>
          <w:rFonts w:hint="eastAsia" w:ascii="Times New Roman" w:hAnsi="Times New Roman" w:eastAsia="宋体" w:cs="Times New Roman"/>
          <w:sz w:val="24"/>
          <w:szCs w:val="24"/>
        </w:rPr>
        <w:t>冲洗水、</w:t>
      </w:r>
      <w:r>
        <w:rPr>
          <w:rFonts w:ascii="Times New Roman" w:hAnsi="Times New Roman" w:eastAsia="宋体" w:cs="Times New Roman"/>
          <w:sz w:val="24"/>
          <w:szCs w:val="24"/>
        </w:rPr>
        <w:t>未预见水</w:t>
      </w:r>
      <w:r>
        <w:rPr>
          <w:rFonts w:hint="eastAsia" w:ascii="Times New Roman" w:hAnsi="Times New Roman" w:eastAsia="宋体" w:cs="Times New Roman"/>
          <w:sz w:val="24"/>
          <w:szCs w:val="24"/>
        </w:rPr>
        <w:t>）等来水先进入含油污水调节池，在调节池内调节水质、水量均匀后泵入后续平流隔油池及两级气浮进行除油，去除浮油和乳化油，使出水的油含量降低到</w:t>
      </w:r>
      <w:r>
        <w:rPr>
          <w:rFonts w:ascii="Times New Roman" w:hAnsi="Times New Roman" w:eastAsia="宋体" w:cs="Times New Roman"/>
          <w:sz w:val="24"/>
          <w:szCs w:val="24"/>
        </w:rPr>
        <w:t>30mg/l</w:t>
      </w:r>
      <w:r>
        <w:rPr>
          <w:rFonts w:hint="eastAsia" w:ascii="Times New Roman" w:hAnsi="Times New Roman" w:eastAsia="宋体" w:cs="Times New Roman"/>
          <w:sz w:val="24"/>
          <w:szCs w:val="24"/>
        </w:rPr>
        <w:t>以下，保证后续厌氧处理段的稳定运行。隔油池收集的浮油溢流到储油池中，再进入油水分离器分离油水后，油送到储油罐回用，水回到含油污水调节池中。</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厌氧处理段</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生活污水</w:t>
      </w:r>
      <w:r>
        <w:rPr>
          <w:rFonts w:hint="eastAsia" w:ascii="Times New Roman" w:hAnsi="Times New Roman" w:eastAsia="宋体" w:cs="Times New Roman"/>
          <w:sz w:val="24"/>
          <w:szCs w:val="24"/>
        </w:rPr>
        <w:t>经过格栅拦截较大的悬浮物后与混凝气浮的出水进综合调节池，并在综合调节池内调节</w:t>
      </w:r>
      <w:r>
        <w:rPr>
          <w:rFonts w:ascii="Times New Roman" w:hAnsi="Times New Roman" w:eastAsia="宋体" w:cs="Times New Roman"/>
          <w:sz w:val="24"/>
          <w:szCs w:val="24"/>
        </w:rPr>
        <w:t>pH</w:t>
      </w:r>
      <w:r>
        <w:rPr>
          <w:rFonts w:hint="eastAsia" w:ascii="Times New Roman" w:hAnsi="Times New Roman" w:eastAsia="宋体" w:cs="Times New Roman"/>
          <w:sz w:val="24"/>
          <w:szCs w:val="24"/>
        </w:rPr>
        <w:t>及投加氮磷等营养盐后进入</w:t>
      </w:r>
      <w:r>
        <w:rPr>
          <w:rFonts w:ascii="Times New Roman" w:hAnsi="Times New Roman" w:eastAsia="宋体" w:cs="Times New Roman"/>
          <w:sz w:val="24"/>
          <w:szCs w:val="24"/>
        </w:rPr>
        <w:t>UASB</w:t>
      </w:r>
      <w:r>
        <w:rPr>
          <w:rFonts w:hint="eastAsia" w:ascii="Times New Roman" w:hAnsi="Times New Roman" w:eastAsia="宋体" w:cs="Times New Roman"/>
          <w:sz w:val="24"/>
          <w:szCs w:val="24"/>
        </w:rPr>
        <w:t>厌氧反应器，</w:t>
      </w:r>
      <w:r>
        <w:rPr>
          <w:rFonts w:ascii="Times New Roman" w:hAnsi="Times New Roman" w:eastAsia="宋体" w:cs="Times New Roman"/>
          <w:sz w:val="24"/>
          <w:szCs w:val="24"/>
        </w:rPr>
        <w:t>UASB</w:t>
      </w:r>
      <w:r>
        <w:rPr>
          <w:rFonts w:hint="eastAsia" w:ascii="Times New Roman" w:hAnsi="Times New Roman" w:eastAsia="宋体" w:cs="Times New Roman"/>
          <w:sz w:val="24"/>
          <w:szCs w:val="24"/>
        </w:rPr>
        <w:t>厌氧反应器通过厌氧微生物的降解作用可以去除废水中大部分的有机污染物，同时提高污水可生化性，降低后续好氧段的处理负荷。厌氧过程产生的沼气经过气水分离器后送至厂区火炬系统进行燃烧处理。</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UASB</w:t>
      </w:r>
      <w:r>
        <w:rPr>
          <w:rFonts w:hint="eastAsia" w:ascii="Times New Roman" w:hAnsi="Times New Roman" w:eastAsia="宋体" w:cs="Times New Roman"/>
          <w:sz w:val="24"/>
          <w:szCs w:val="24"/>
        </w:rPr>
        <w:t>出水进厌氧沉淀池，污泥在厌氧沉淀池内进行自然沉淀，同时部分污染物被进一步降解。沉淀后的污泥可以通过污泥回流泵回流至厌氧反应器内。厌氧沉淀池可以解决厌氧反应器因运行故障发生跑泥问题；污泥回流可加速污泥的积累，缩短启动周期；再者，当偶尔发生大量漂泥时，提高了可见性，能够及时回收污泥保持系统稳定；最后，池体内发生的水解酸化可进一步降级有机物含量提高后续系统的可生化性。</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r>
        <w:rPr>
          <w:rFonts w:hint="eastAsia" w:ascii="Times New Roman" w:hAnsi="Times New Roman" w:eastAsia="宋体" w:cs="Times New Roman"/>
          <w:sz w:val="24"/>
          <w:szCs w:val="24"/>
        </w:rPr>
        <w:t>好氧处理段</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污水经厌氧处理后，至好氧生物处理核心构筑物－</w:t>
      </w:r>
      <w:r>
        <w:rPr>
          <w:rFonts w:ascii="Times New Roman" w:hAnsi="Times New Roman" w:eastAsia="宋体" w:cs="Times New Roman"/>
          <w:sz w:val="24"/>
          <w:szCs w:val="24"/>
        </w:rPr>
        <w:t xml:space="preserve">A/O </w:t>
      </w:r>
      <w:r>
        <w:rPr>
          <w:rFonts w:hint="eastAsia" w:ascii="Times New Roman" w:hAnsi="Times New Roman" w:eastAsia="宋体" w:cs="Times New Roman"/>
          <w:sz w:val="24"/>
          <w:szCs w:val="24"/>
        </w:rPr>
        <w:t>系统。</w:t>
      </w:r>
      <w:r>
        <w:rPr>
          <w:rFonts w:ascii="Times New Roman" w:hAnsi="Times New Roman" w:eastAsia="宋体" w:cs="Times New Roman"/>
          <w:sz w:val="24"/>
          <w:szCs w:val="24"/>
        </w:rPr>
        <w:t>A/O</w:t>
      </w:r>
      <w:r>
        <w:rPr>
          <w:rFonts w:hint="eastAsia" w:ascii="Times New Roman" w:hAnsi="Times New Roman" w:eastAsia="宋体" w:cs="Times New Roman"/>
          <w:sz w:val="24"/>
          <w:szCs w:val="24"/>
        </w:rPr>
        <w:t>工艺是为污水生物脱氮而开发的污水处理技术。</w:t>
      </w:r>
      <w:r>
        <w:rPr>
          <w:rFonts w:ascii="Times New Roman" w:hAnsi="Times New Roman" w:eastAsia="宋体" w:cs="Times New Roman"/>
          <w:sz w:val="24"/>
          <w:szCs w:val="24"/>
        </w:rPr>
        <w:t>A/O</w:t>
      </w:r>
      <w:r>
        <w:rPr>
          <w:rFonts w:hint="eastAsia" w:ascii="Times New Roman" w:hAnsi="Times New Roman" w:eastAsia="宋体" w:cs="Times New Roman"/>
          <w:sz w:val="24"/>
          <w:szCs w:val="24"/>
        </w:rPr>
        <w:t>由缺氧池、好氧池组成，污水依次在其中经历缺氧及好氧过程，完成去除污水中绝大部分氮及有机物质的功能。好氧池出水重力进入二沉池进行固液分离。二沉池中污泥一部分回流至厌氧池，保证</w:t>
      </w:r>
      <w:r>
        <w:rPr>
          <w:rFonts w:ascii="Times New Roman" w:hAnsi="Times New Roman" w:eastAsia="宋体" w:cs="Times New Roman"/>
          <w:sz w:val="24"/>
          <w:szCs w:val="24"/>
        </w:rPr>
        <w:t>A/O</w:t>
      </w:r>
      <w:r>
        <w:rPr>
          <w:rFonts w:hint="eastAsia" w:ascii="Times New Roman" w:hAnsi="Times New Roman" w:eastAsia="宋体" w:cs="Times New Roman"/>
          <w:sz w:val="24"/>
          <w:szCs w:val="24"/>
        </w:rPr>
        <w:t>系统的污泥浓度，另一部分作为剩余污泥排至污泥浓缩池。</w:t>
      </w:r>
      <w:r>
        <w:rPr>
          <w:rFonts w:ascii="Times New Roman" w:hAnsi="Times New Roman" w:eastAsia="宋体" w:cs="Times New Roman"/>
          <w:sz w:val="24"/>
          <w:szCs w:val="24"/>
        </w:rPr>
        <w:t>处理后的</w:t>
      </w:r>
      <w:r>
        <w:rPr>
          <w:rFonts w:hint="eastAsia" w:ascii="Times New Roman" w:hAnsi="Times New Roman" w:eastAsia="宋体" w:cs="Times New Roman"/>
          <w:sz w:val="24"/>
          <w:szCs w:val="24"/>
        </w:rPr>
        <w:t>出水均能</w:t>
      </w:r>
      <w:r>
        <w:rPr>
          <w:rFonts w:ascii="Times New Roman" w:hAnsi="Times New Roman" w:eastAsia="宋体" w:cs="Times New Roman"/>
          <w:sz w:val="24"/>
          <w:szCs w:val="24"/>
        </w:rPr>
        <w:t>达到</w:t>
      </w:r>
      <w:r>
        <w:rPr>
          <w:rFonts w:hint="eastAsia" w:ascii="Times New Roman" w:hAnsi="Times New Roman" w:eastAsia="宋体" w:cs="Times New Roman"/>
          <w:sz w:val="24"/>
          <w:szCs w:val="24"/>
        </w:rPr>
        <w:t>《污水综合排放标准》（GB8978-1996）表4二级</w:t>
      </w:r>
      <w:r>
        <w:rPr>
          <w:rFonts w:ascii="Times New Roman" w:hAnsi="Times New Roman" w:eastAsia="宋体" w:cs="Times New Roman"/>
          <w:sz w:val="24"/>
          <w:szCs w:val="24"/>
        </w:rPr>
        <w:t>标准及</w:t>
      </w:r>
      <w:r>
        <w:rPr>
          <w:rFonts w:hint="eastAsia" w:ascii="Times New Roman" w:hAnsi="Times New Roman" w:eastAsia="宋体" w:cs="Times New Roman"/>
          <w:sz w:val="24"/>
          <w:szCs w:val="24"/>
        </w:rPr>
        <w:t>濮阳市第二污水处理厂</w:t>
      </w:r>
      <w:r>
        <w:rPr>
          <w:rFonts w:ascii="Times New Roman" w:hAnsi="Times New Roman" w:eastAsia="宋体" w:cs="Times New Roman"/>
          <w:sz w:val="24"/>
          <w:szCs w:val="24"/>
        </w:rPr>
        <w:t>进水水质要求，</w:t>
      </w:r>
      <w:r>
        <w:rPr>
          <w:rFonts w:hint="eastAsia" w:ascii="Times New Roman" w:hAnsi="Times New Roman" w:eastAsia="宋体" w:cs="Times New Roman"/>
          <w:kern w:val="0"/>
          <w:sz w:val="24"/>
          <w:szCs w:val="24"/>
        </w:rPr>
        <w:t>排入濮阳市第二污水处理厂进行进一步处理，达标后</w:t>
      </w:r>
      <w:r>
        <w:rPr>
          <w:rFonts w:ascii="Times New Roman" w:hAnsi="Times New Roman" w:eastAsia="宋体" w:cs="Times New Roman"/>
          <w:sz w:val="24"/>
          <w:szCs w:val="24"/>
        </w:rPr>
        <w:t>排入</w:t>
      </w:r>
      <w:r>
        <w:rPr>
          <w:rFonts w:hint="eastAsia" w:ascii="Times New Roman" w:hAnsi="Times New Roman" w:eastAsia="宋体" w:cs="Times New Roman"/>
          <w:sz w:val="24"/>
          <w:szCs w:val="24"/>
        </w:rPr>
        <w:t>顺河沟，最终排入马颊河</w:t>
      </w:r>
      <w:r>
        <w:rPr>
          <w:rFonts w:ascii="Times New Roman" w:hAnsi="Times New Roman" w:eastAsia="宋体" w:cs="Times New Roman"/>
          <w:sz w:val="24"/>
          <w:szCs w:val="24"/>
        </w:rPr>
        <w:t>。</w:t>
      </w:r>
    </w:p>
    <w:p>
      <w:pPr>
        <w:pStyle w:val="33"/>
        <w:rPr>
          <w:color w:val="auto"/>
        </w:rPr>
      </w:pPr>
      <w:r>
        <w:rPr>
          <w:color w:val="auto"/>
        </w:rPr>
        <w:t>5</w:t>
      </w:r>
      <w:r>
        <w:rPr>
          <w:rFonts w:hint="eastAsia"/>
          <w:color w:val="auto"/>
        </w:rPr>
        <w:t>.</w:t>
      </w:r>
      <w:r>
        <w:rPr>
          <w:color w:val="auto"/>
        </w:rPr>
        <w:t>2</w:t>
      </w:r>
      <w:r>
        <w:rPr>
          <w:rFonts w:hint="eastAsia"/>
          <w:color w:val="auto"/>
        </w:rPr>
        <w:t>.2.</w:t>
      </w:r>
      <w:r>
        <w:rPr>
          <w:color w:val="auto"/>
        </w:rPr>
        <w:t>2 污水站设计进、出水水质</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变更后含油混合废水水质情况见表5.2</w:t>
      </w: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黑体" w:cs="Times New Roman"/>
          <w:sz w:val="24"/>
        </w:rPr>
      </w:pPr>
      <w:r>
        <w:rPr>
          <w:rFonts w:ascii="Times New Roman" w:hAnsi="Times New Roman" w:eastAsia="黑体" w:cs="Times New Roman"/>
          <w:sz w:val="24"/>
        </w:rPr>
        <w:t>表5.2-1</w:t>
      </w:r>
      <w:r>
        <w:rPr>
          <w:rFonts w:hint="eastAsia" w:ascii="Times New Roman" w:hAnsi="Times New Roman" w:eastAsia="黑体" w:cs="Times New Roman"/>
          <w:sz w:val="24"/>
        </w:rPr>
        <w:t xml:space="preserve">    </w:t>
      </w:r>
      <w:r>
        <w:rPr>
          <w:rFonts w:ascii="Times New Roman" w:hAnsi="Times New Roman" w:eastAsia="黑体" w:cs="Times New Roman"/>
          <w:sz w:val="24"/>
        </w:rPr>
        <w:t xml:space="preserve">    </w:t>
      </w:r>
      <w:r>
        <w:rPr>
          <w:rFonts w:hint="eastAsia" w:ascii="Times New Roman" w:hAnsi="Times New Roman" w:eastAsia="黑体" w:cs="Times New Roman"/>
          <w:sz w:val="24"/>
        </w:rPr>
        <w:t>变更后含油废水进水</w:t>
      </w:r>
      <w:r>
        <w:rPr>
          <w:rFonts w:ascii="Times New Roman" w:hAnsi="Times New Roman" w:eastAsia="黑体" w:cs="Times New Roman"/>
          <w:sz w:val="24"/>
        </w:rPr>
        <w:t>水质情况一览表</w:t>
      </w:r>
    </w:p>
    <w:tbl>
      <w:tblPr>
        <w:tblStyle w:val="1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
      <w:tblGrid>
        <w:gridCol w:w="1696"/>
        <w:gridCol w:w="993"/>
        <w:gridCol w:w="1134"/>
        <w:gridCol w:w="1134"/>
        <w:gridCol w:w="992"/>
        <w:gridCol w:w="1043"/>
        <w:gridCol w:w="130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jc w:val="center"/>
        </w:trPr>
        <w:tc>
          <w:tcPr>
            <w:tcW w:w="1696" w:type="dxa"/>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项目</w:t>
            </w:r>
          </w:p>
        </w:tc>
        <w:tc>
          <w:tcPr>
            <w:tcW w:w="993"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水量</w:t>
            </w:r>
          </w:p>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3</w:t>
            </w:r>
            <w:r>
              <w:rPr>
                <w:rFonts w:ascii="Times New Roman" w:hAnsi="Times New Roman" w:eastAsia="宋体" w:cs="Times New Roman"/>
                <w:szCs w:val="21"/>
              </w:rPr>
              <w:t>/d）</w:t>
            </w:r>
          </w:p>
        </w:tc>
        <w:tc>
          <w:tcPr>
            <w:tcW w:w="1134"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COD</w:t>
            </w:r>
          </w:p>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（mg/L）</w:t>
            </w:r>
          </w:p>
        </w:tc>
        <w:tc>
          <w:tcPr>
            <w:tcW w:w="1134"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BOD</w:t>
            </w:r>
            <w:r>
              <w:rPr>
                <w:rFonts w:ascii="Times New Roman" w:hAnsi="Times New Roman" w:eastAsia="宋体" w:cs="Times New Roman"/>
                <w:szCs w:val="21"/>
                <w:vertAlign w:val="subscript"/>
              </w:rPr>
              <w:t>5</w:t>
            </w:r>
            <w:r>
              <w:rPr>
                <w:rFonts w:ascii="Times New Roman" w:hAnsi="Times New Roman" w:eastAsia="宋体" w:cs="Times New Roman"/>
                <w:szCs w:val="21"/>
              </w:rPr>
              <w:t>（mg/L）</w:t>
            </w:r>
          </w:p>
        </w:tc>
        <w:tc>
          <w:tcPr>
            <w:tcW w:w="992"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石油</w:t>
            </w:r>
          </w:p>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（mg/L）</w:t>
            </w:r>
          </w:p>
        </w:tc>
        <w:tc>
          <w:tcPr>
            <w:tcW w:w="1043"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硫化物</w:t>
            </w:r>
            <w:r>
              <w:rPr>
                <w:rFonts w:ascii="Times New Roman" w:hAnsi="Times New Roman" w:eastAsia="宋体" w:cs="Times New Roman"/>
                <w:kern w:val="0"/>
                <w:szCs w:val="21"/>
              </w:rPr>
              <w:t>（mg/L）</w:t>
            </w:r>
          </w:p>
        </w:tc>
        <w:tc>
          <w:tcPr>
            <w:tcW w:w="1304" w:type="dxa"/>
            <w:tcBorders>
              <w:lef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氨氮（mg/L）</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jc w:val="center"/>
        </w:trPr>
        <w:tc>
          <w:tcPr>
            <w:tcW w:w="1696" w:type="dxa"/>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预处理含油废水</w:t>
            </w:r>
          </w:p>
        </w:tc>
        <w:tc>
          <w:tcPr>
            <w:tcW w:w="993" w:type="dxa"/>
            <w:tcBorders>
              <w:left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szCs w:val="21"/>
              </w:rPr>
            </w:pPr>
            <w:r>
              <w:rPr>
                <w:rFonts w:ascii="Times New Roman" w:hAnsi="Times New Roman" w:eastAsia="等线" w:cs="Times New Roman"/>
                <w:szCs w:val="21"/>
              </w:rPr>
              <w:t>20.832</w:t>
            </w:r>
          </w:p>
        </w:tc>
        <w:tc>
          <w:tcPr>
            <w:tcW w:w="1134"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23855.13</w:t>
            </w:r>
          </w:p>
        </w:tc>
        <w:tc>
          <w:tcPr>
            <w:tcW w:w="1134"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10932.70</w:t>
            </w:r>
          </w:p>
        </w:tc>
        <w:tc>
          <w:tcPr>
            <w:tcW w:w="992"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4883.83</w:t>
            </w:r>
          </w:p>
        </w:tc>
        <w:tc>
          <w:tcPr>
            <w:tcW w:w="1043"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11.14</w:t>
            </w:r>
          </w:p>
        </w:tc>
        <w:tc>
          <w:tcPr>
            <w:tcW w:w="1304" w:type="dxa"/>
            <w:tcBorders>
              <w:lef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48.00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jc w:val="center"/>
        </w:trPr>
        <w:tc>
          <w:tcPr>
            <w:tcW w:w="1696" w:type="dxa"/>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罐区废水</w:t>
            </w:r>
          </w:p>
        </w:tc>
        <w:tc>
          <w:tcPr>
            <w:tcW w:w="993"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5</w:t>
            </w:r>
          </w:p>
        </w:tc>
        <w:tc>
          <w:tcPr>
            <w:tcW w:w="1134"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5000</w:t>
            </w:r>
          </w:p>
        </w:tc>
        <w:tc>
          <w:tcPr>
            <w:tcW w:w="1134"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1500</w:t>
            </w:r>
          </w:p>
        </w:tc>
        <w:tc>
          <w:tcPr>
            <w:tcW w:w="992"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500</w:t>
            </w:r>
          </w:p>
        </w:tc>
        <w:tc>
          <w:tcPr>
            <w:tcW w:w="1043"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1304" w:type="dxa"/>
            <w:tcBorders>
              <w:lef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jc w:val="center"/>
        </w:trPr>
        <w:tc>
          <w:tcPr>
            <w:tcW w:w="1696" w:type="dxa"/>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化验室废水</w:t>
            </w:r>
          </w:p>
        </w:tc>
        <w:tc>
          <w:tcPr>
            <w:tcW w:w="993"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1.8</w:t>
            </w:r>
          </w:p>
        </w:tc>
        <w:tc>
          <w:tcPr>
            <w:tcW w:w="1134"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380</w:t>
            </w:r>
          </w:p>
        </w:tc>
        <w:tc>
          <w:tcPr>
            <w:tcW w:w="1134"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120</w:t>
            </w:r>
          </w:p>
        </w:tc>
        <w:tc>
          <w:tcPr>
            <w:tcW w:w="992"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50</w:t>
            </w:r>
          </w:p>
        </w:tc>
        <w:tc>
          <w:tcPr>
            <w:tcW w:w="1043"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04" w:type="dxa"/>
            <w:tcBorders>
              <w:lef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jc w:val="center"/>
        </w:trPr>
        <w:tc>
          <w:tcPr>
            <w:tcW w:w="1696" w:type="dxa"/>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地面冲洗废水</w:t>
            </w:r>
          </w:p>
        </w:tc>
        <w:tc>
          <w:tcPr>
            <w:tcW w:w="993"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18</w:t>
            </w:r>
          </w:p>
        </w:tc>
        <w:tc>
          <w:tcPr>
            <w:tcW w:w="1134"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1000</w:t>
            </w:r>
          </w:p>
        </w:tc>
        <w:tc>
          <w:tcPr>
            <w:tcW w:w="1134"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w:t>
            </w:r>
          </w:p>
        </w:tc>
        <w:tc>
          <w:tcPr>
            <w:tcW w:w="992"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50</w:t>
            </w:r>
          </w:p>
        </w:tc>
        <w:tc>
          <w:tcPr>
            <w:tcW w:w="1043"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04" w:type="dxa"/>
            <w:tcBorders>
              <w:lef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jc w:val="center"/>
        </w:trPr>
        <w:tc>
          <w:tcPr>
            <w:tcW w:w="1696" w:type="dxa"/>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未预见水量</w:t>
            </w:r>
          </w:p>
        </w:tc>
        <w:tc>
          <w:tcPr>
            <w:tcW w:w="993"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83.2</w:t>
            </w:r>
          </w:p>
        </w:tc>
        <w:tc>
          <w:tcPr>
            <w:tcW w:w="1134"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5000</w:t>
            </w:r>
          </w:p>
        </w:tc>
        <w:tc>
          <w:tcPr>
            <w:tcW w:w="1134"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1500</w:t>
            </w:r>
          </w:p>
        </w:tc>
        <w:tc>
          <w:tcPr>
            <w:tcW w:w="992"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50</w:t>
            </w:r>
          </w:p>
        </w:tc>
        <w:tc>
          <w:tcPr>
            <w:tcW w:w="1043"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04" w:type="dxa"/>
            <w:tcBorders>
              <w:lef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jc w:val="center"/>
        </w:trPr>
        <w:tc>
          <w:tcPr>
            <w:tcW w:w="1696" w:type="dxa"/>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含油混合废水</w:t>
            </w:r>
          </w:p>
        </w:tc>
        <w:tc>
          <w:tcPr>
            <w:tcW w:w="993" w:type="dxa"/>
            <w:tcBorders>
              <w:left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szCs w:val="21"/>
              </w:rPr>
            </w:pPr>
            <w:r>
              <w:rPr>
                <w:rFonts w:hint="eastAsia" w:ascii="Times New Roman" w:hAnsi="Times New Roman" w:eastAsia="等线" w:cs="Times New Roman"/>
                <w:szCs w:val="21"/>
              </w:rPr>
              <w:t>128.832</w:t>
            </w:r>
          </w:p>
        </w:tc>
        <w:tc>
          <w:tcPr>
            <w:tcW w:w="1134" w:type="dxa"/>
            <w:tcBorders>
              <w:left w:val="single" w:color="auto" w:sz="4" w:space="0"/>
              <w:right w:val="single" w:color="auto" w:sz="4" w:space="0"/>
            </w:tcBorders>
            <w:shd w:val="clear" w:color="auto" w:fill="auto"/>
            <w:vAlign w:val="bottom"/>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7425.44 </w:t>
            </w:r>
          </w:p>
        </w:tc>
        <w:tc>
          <w:tcPr>
            <w:tcW w:w="1134" w:type="dxa"/>
            <w:tcBorders>
              <w:left w:val="single" w:color="auto" w:sz="4" w:space="0"/>
              <w:right w:val="single" w:color="auto" w:sz="4" w:space="0"/>
            </w:tcBorders>
            <w:shd w:val="clear" w:color="auto" w:fill="auto"/>
            <w:vAlign w:val="bottom"/>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2838.32 </w:t>
            </w:r>
          </w:p>
        </w:tc>
        <w:tc>
          <w:tcPr>
            <w:tcW w:w="992" w:type="dxa"/>
            <w:tcBorders>
              <w:left w:val="single" w:color="auto" w:sz="4" w:space="0"/>
              <w:right w:val="single" w:color="auto" w:sz="4" w:space="0"/>
            </w:tcBorders>
            <w:shd w:val="clear" w:color="auto" w:fill="auto"/>
            <w:vAlign w:val="bottom"/>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849.09 </w:t>
            </w:r>
          </w:p>
        </w:tc>
        <w:tc>
          <w:tcPr>
            <w:tcW w:w="1043" w:type="dxa"/>
            <w:tcBorders>
              <w:left w:val="single" w:color="auto" w:sz="4" w:space="0"/>
              <w:right w:val="single" w:color="auto" w:sz="4" w:space="0"/>
            </w:tcBorders>
            <w:shd w:val="clear" w:color="auto" w:fill="auto"/>
            <w:vAlign w:val="bottom"/>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1.80 </w:t>
            </w:r>
          </w:p>
        </w:tc>
        <w:tc>
          <w:tcPr>
            <w:tcW w:w="1304" w:type="dxa"/>
            <w:tcBorders>
              <w:left w:val="single" w:color="auto" w:sz="4" w:space="0"/>
            </w:tcBorders>
            <w:shd w:val="clear" w:color="auto" w:fill="auto"/>
            <w:vAlign w:val="bottom"/>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14.75</w:t>
            </w:r>
          </w:p>
        </w:tc>
      </w:tr>
    </w:tbl>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变更后含油混合废水预处理单元进、出水水质见表5.2</w:t>
      </w: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黑体" w:cs="Times New Roman"/>
          <w:sz w:val="24"/>
        </w:rPr>
      </w:pPr>
      <w:r>
        <w:rPr>
          <w:rFonts w:ascii="Times New Roman" w:hAnsi="Times New Roman" w:eastAsia="黑体" w:cs="Times New Roman"/>
          <w:sz w:val="24"/>
        </w:rPr>
        <w:t>表5.2-2</w:t>
      </w:r>
      <w:r>
        <w:rPr>
          <w:rFonts w:hint="eastAsia" w:ascii="Times New Roman" w:hAnsi="Times New Roman" w:eastAsia="黑体" w:cs="Times New Roman"/>
          <w:sz w:val="24"/>
        </w:rPr>
        <w:t xml:space="preserve">    </w:t>
      </w:r>
      <w:r>
        <w:rPr>
          <w:rFonts w:ascii="Times New Roman" w:hAnsi="Times New Roman" w:eastAsia="黑体" w:cs="Times New Roman"/>
          <w:sz w:val="24"/>
        </w:rPr>
        <w:t xml:space="preserve">    </w:t>
      </w:r>
      <w:r>
        <w:rPr>
          <w:rFonts w:hint="eastAsia" w:ascii="Times New Roman" w:hAnsi="Times New Roman" w:eastAsia="黑体" w:cs="Times New Roman"/>
          <w:sz w:val="24"/>
        </w:rPr>
        <w:t>变更后含油废水预处理进、出水</w:t>
      </w:r>
      <w:r>
        <w:rPr>
          <w:rFonts w:ascii="Times New Roman" w:hAnsi="Times New Roman" w:eastAsia="黑体" w:cs="Times New Roman"/>
          <w:sz w:val="24"/>
        </w:rPr>
        <w:t>水质情况一览表</w:t>
      </w:r>
    </w:p>
    <w:tbl>
      <w:tblPr>
        <w:tblStyle w:val="1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
      <w:tblGrid>
        <w:gridCol w:w="1327"/>
        <w:gridCol w:w="848"/>
        <w:gridCol w:w="811"/>
        <w:gridCol w:w="905"/>
        <w:gridCol w:w="1161"/>
        <w:gridCol w:w="905"/>
        <w:gridCol w:w="1224"/>
        <w:gridCol w:w="1115"/>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315" w:hRule="atLeast"/>
          <w:jc w:val="center"/>
        </w:trPr>
        <w:tc>
          <w:tcPr>
            <w:tcW w:w="1327" w:type="dxa"/>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工段</w:t>
            </w:r>
          </w:p>
        </w:tc>
        <w:tc>
          <w:tcPr>
            <w:tcW w:w="848"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水量</w:t>
            </w:r>
          </w:p>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3</w:t>
            </w:r>
            <w:r>
              <w:rPr>
                <w:rFonts w:ascii="Times New Roman" w:hAnsi="Times New Roman" w:eastAsia="宋体" w:cs="Times New Roman"/>
                <w:szCs w:val="21"/>
              </w:rPr>
              <w:t>/d）</w:t>
            </w:r>
          </w:p>
        </w:tc>
        <w:tc>
          <w:tcPr>
            <w:tcW w:w="811" w:type="dxa"/>
            <w:tcBorders>
              <w:left w:val="single" w:color="auto" w:sz="4" w:space="0"/>
              <w:righ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指标</w:t>
            </w:r>
          </w:p>
        </w:tc>
        <w:tc>
          <w:tcPr>
            <w:tcW w:w="905"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COD</w:t>
            </w:r>
          </w:p>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（mg/L）</w:t>
            </w:r>
          </w:p>
        </w:tc>
        <w:tc>
          <w:tcPr>
            <w:tcW w:w="1161"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BOD</w:t>
            </w:r>
            <w:r>
              <w:rPr>
                <w:rFonts w:ascii="Times New Roman" w:hAnsi="Times New Roman" w:eastAsia="宋体" w:cs="Times New Roman"/>
                <w:szCs w:val="21"/>
                <w:vertAlign w:val="subscript"/>
              </w:rPr>
              <w:t>5</w:t>
            </w:r>
            <w:r>
              <w:rPr>
                <w:rFonts w:ascii="Times New Roman" w:hAnsi="Times New Roman" w:eastAsia="宋体" w:cs="Times New Roman"/>
                <w:szCs w:val="21"/>
              </w:rPr>
              <w:t>（mg/L）</w:t>
            </w:r>
          </w:p>
        </w:tc>
        <w:tc>
          <w:tcPr>
            <w:tcW w:w="905"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石油</w:t>
            </w:r>
          </w:p>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（mg/L）</w:t>
            </w:r>
          </w:p>
        </w:tc>
        <w:tc>
          <w:tcPr>
            <w:tcW w:w="1224"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硫化物</w:t>
            </w:r>
            <w:r>
              <w:rPr>
                <w:rFonts w:ascii="Times New Roman" w:hAnsi="Times New Roman" w:eastAsia="宋体" w:cs="Times New Roman"/>
                <w:kern w:val="0"/>
                <w:szCs w:val="21"/>
              </w:rPr>
              <w:t>（mg/L）</w:t>
            </w:r>
          </w:p>
        </w:tc>
        <w:tc>
          <w:tcPr>
            <w:tcW w:w="1115" w:type="dxa"/>
            <w:tcBorders>
              <w:lef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氨氮（mg/L）</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90" w:hRule="atLeast"/>
          <w:jc w:val="center"/>
        </w:trPr>
        <w:tc>
          <w:tcPr>
            <w:tcW w:w="1327" w:type="dxa"/>
            <w:vMerge w:val="restart"/>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平流隔油池</w:t>
            </w:r>
          </w:p>
        </w:tc>
        <w:tc>
          <w:tcPr>
            <w:tcW w:w="848" w:type="dxa"/>
            <w:vMerge w:val="restart"/>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hint="eastAsia" w:ascii="Times New Roman" w:hAnsi="Times New Roman" w:eastAsia="等线" w:cs="Times New Roman"/>
                <w:szCs w:val="21"/>
              </w:rPr>
              <w:t>128.832</w:t>
            </w:r>
          </w:p>
        </w:tc>
        <w:tc>
          <w:tcPr>
            <w:tcW w:w="811" w:type="dxa"/>
            <w:tcBorders>
              <w:left w:val="single" w:color="auto" w:sz="4" w:space="0"/>
              <w:righ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进水</w:t>
            </w:r>
          </w:p>
        </w:tc>
        <w:tc>
          <w:tcPr>
            <w:tcW w:w="905"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7425.438 </w:t>
            </w:r>
          </w:p>
        </w:tc>
        <w:tc>
          <w:tcPr>
            <w:tcW w:w="1161"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2838.317</w:t>
            </w:r>
          </w:p>
        </w:tc>
        <w:tc>
          <w:tcPr>
            <w:tcW w:w="905"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849.090</w:t>
            </w:r>
          </w:p>
        </w:tc>
        <w:tc>
          <w:tcPr>
            <w:tcW w:w="1224"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1.801</w:t>
            </w:r>
          </w:p>
        </w:tc>
        <w:tc>
          <w:tcPr>
            <w:tcW w:w="1115" w:type="dxa"/>
            <w:tcBorders>
              <w:lef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14.747</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285" w:hRule="atLeast"/>
          <w:jc w:val="center"/>
        </w:trPr>
        <w:tc>
          <w:tcPr>
            <w:tcW w:w="1327" w:type="dxa"/>
            <w:vMerge w:val="continue"/>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p>
        </w:tc>
        <w:tc>
          <w:tcPr>
            <w:tcW w:w="848" w:type="dxa"/>
            <w:vMerge w:val="continue"/>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p>
        </w:tc>
        <w:tc>
          <w:tcPr>
            <w:tcW w:w="811" w:type="dxa"/>
            <w:tcBorders>
              <w:left w:val="single" w:color="auto" w:sz="4" w:space="0"/>
              <w:righ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去除率</w:t>
            </w:r>
          </w:p>
        </w:tc>
        <w:tc>
          <w:tcPr>
            <w:tcW w:w="905" w:type="dxa"/>
            <w:tcBorders>
              <w:left w:val="single" w:color="auto" w:sz="4" w:space="0"/>
              <w:right w:val="single" w:color="auto" w:sz="4" w:space="0"/>
            </w:tcBorders>
            <w:shd w:val="clear" w:color="auto" w:fill="auto"/>
            <w:vAlign w:val="bottom"/>
          </w:tcPr>
          <w:p>
            <w:pPr>
              <w:jc w:val="center"/>
              <w:rPr>
                <w:rFonts w:ascii="Times New Roman" w:hAnsi="Times New Roman" w:eastAsia="等线" w:cs="Times New Roman"/>
                <w:sz w:val="22"/>
              </w:rPr>
            </w:pPr>
            <w:r>
              <w:rPr>
                <w:rFonts w:hint="eastAsia" w:ascii="Times New Roman" w:hAnsi="Times New Roman" w:eastAsia="等线" w:cs="Times New Roman"/>
                <w:sz w:val="22"/>
              </w:rPr>
              <w:t>10%</w:t>
            </w:r>
          </w:p>
        </w:tc>
        <w:tc>
          <w:tcPr>
            <w:tcW w:w="1161" w:type="dxa"/>
            <w:tcBorders>
              <w:left w:val="single" w:color="auto" w:sz="4" w:space="0"/>
              <w:right w:val="single" w:color="auto" w:sz="4" w:space="0"/>
            </w:tcBorders>
            <w:shd w:val="clear" w:color="auto" w:fill="auto"/>
            <w:vAlign w:val="bottom"/>
          </w:tcPr>
          <w:p>
            <w:pPr>
              <w:jc w:val="center"/>
              <w:rPr>
                <w:rFonts w:ascii="Times New Roman" w:hAnsi="Times New Roman" w:eastAsia="等线" w:cs="Times New Roman"/>
                <w:sz w:val="22"/>
              </w:rPr>
            </w:pPr>
            <w:r>
              <w:rPr>
                <w:rFonts w:hint="eastAsia" w:ascii="Times New Roman" w:hAnsi="Times New Roman" w:eastAsia="等线" w:cs="Times New Roman"/>
                <w:sz w:val="22"/>
              </w:rPr>
              <w:t>10%</w:t>
            </w:r>
          </w:p>
        </w:tc>
        <w:tc>
          <w:tcPr>
            <w:tcW w:w="905" w:type="dxa"/>
            <w:tcBorders>
              <w:left w:val="single" w:color="auto" w:sz="4" w:space="0"/>
              <w:right w:val="single" w:color="auto" w:sz="4" w:space="0"/>
            </w:tcBorders>
            <w:shd w:val="clear" w:color="auto" w:fill="auto"/>
            <w:vAlign w:val="bottom"/>
          </w:tcPr>
          <w:p>
            <w:pPr>
              <w:jc w:val="center"/>
              <w:rPr>
                <w:rFonts w:ascii="Times New Roman" w:hAnsi="Times New Roman" w:eastAsia="等线" w:cs="Times New Roman"/>
                <w:sz w:val="22"/>
              </w:rPr>
            </w:pPr>
            <w:r>
              <w:rPr>
                <w:rFonts w:hint="eastAsia" w:ascii="Times New Roman" w:hAnsi="Times New Roman" w:eastAsia="等线" w:cs="Times New Roman"/>
                <w:sz w:val="22"/>
              </w:rPr>
              <w:t>70%</w:t>
            </w:r>
          </w:p>
        </w:tc>
        <w:tc>
          <w:tcPr>
            <w:tcW w:w="1224" w:type="dxa"/>
            <w:tcBorders>
              <w:left w:val="single" w:color="auto" w:sz="4" w:space="0"/>
              <w:right w:val="single" w:color="auto" w:sz="4" w:space="0"/>
            </w:tcBorders>
            <w:shd w:val="clear" w:color="auto" w:fill="auto"/>
            <w:vAlign w:val="bottom"/>
          </w:tcPr>
          <w:p>
            <w:pPr>
              <w:jc w:val="center"/>
              <w:rPr>
                <w:rFonts w:ascii="Times New Roman" w:hAnsi="Times New Roman" w:eastAsia="等线" w:cs="Times New Roman"/>
                <w:sz w:val="22"/>
              </w:rPr>
            </w:pPr>
            <w:r>
              <w:rPr>
                <w:rFonts w:hint="eastAsia" w:ascii="Times New Roman" w:hAnsi="Times New Roman" w:eastAsia="等线" w:cs="Times New Roman"/>
                <w:sz w:val="22"/>
              </w:rPr>
              <w:t>0%</w:t>
            </w:r>
          </w:p>
        </w:tc>
        <w:tc>
          <w:tcPr>
            <w:tcW w:w="1115" w:type="dxa"/>
            <w:tcBorders>
              <w:left w:val="single" w:color="auto" w:sz="4" w:space="0"/>
            </w:tcBorders>
            <w:shd w:val="clear" w:color="auto" w:fill="auto"/>
            <w:vAlign w:val="bottom"/>
          </w:tcPr>
          <w:p>
            <w:pPr>
              <w:jc w:val="center"/>
              <w:rPr>
                <w:rFonts w:ascii="Times New Roman" w:hAnsi="Times New Roman" w:eastAsia="等线" w:cs="Times New Roman"/>
                <w:sz w:val="22"/>
              </w:rPr>
            </w:pPr>
            <w:r>
              <w:rPr>
                <w:rFonts w:hint="eastAsia" w:ascii="Times New Roman" w:hAnsi="Times New Roman" w:eastAsia="等线" w:cs="Times New Roman"/>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285" w:hRule="atLeast"/>
          <w:jc w:val="center"/>
        </w:trPr>
        <w:tc>
          <w:tcPr>
            <w:tcW w:w="1327" w:type="dxa"/>
            <w:vMerge w:val="continue"/>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p>
        </w:tc>
        <w:tc>
          <w:tcPr>
            <w:tcW w:w="848" w:type="dxa"/>
            <w:vMerge w:val="continue"/>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p>
        </w:tc>
        <w:tc>
          <w:tcPr>
            <w:tcW w:w="811" w:type="dxa"/>
            <w:tcBorders>
              <w:left w:val="single" w:color="auto" w:sz="4" w:space="0"/>
              <w:righ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出水</w:t>
            </w:r>
          </w:p>
        </w:tc>
        <w:tc>
          <w:tcPr>
            <w:tcW w:w="905"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6682.894</w:t>
            </w:r>
          </w:p>
        </w:tc>
        <w:tc>
          <w:tcPr>
            <w:tcW w:w="1161"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2554.485</w:t>
            </w:r>
          </w:p>
        </w:tc>
        <w:tc>
          <w:tcPr>
            <w:tcW w:w="905"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254.727</w:t>
            </w:r>
          </w:p>
        </w:tc>
        <w:tc>
          <w:tcPr>
            <w:tcW w:w="1224"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1.801</w:t>
            </w:r>
          </w:p>
        </w:tc>
        <w:tc>
          <w:tcPr>
            <w:tcW w:w="1115" w:type="dxa"/>
            <w:tcBorders>
              <w:lef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14.747</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285" w:hRule="atLeast"/>
          <w:jc w:val="center"/>
        </w:trPr>
        <w:tc>
          <w:tcPr>
            <w:tcW w:w="1327" w:type="dxa"/>
            <w:vMerge w:val="restart"/>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涡凹气浮池</w:t>
            </w:r>
          </w:p>
        </w:tc>
        <w:tc>
          <w:tcPr>
            <w:tcW w:w="848" w:type="dxa"/>
            <w:vMerge w:val="restart"/>
            <w:tcBorders>
              <w:left w:val="single" w:color="auto" w:sz="4" w:space="0"/>
              <w:right w:val="single" w:color="auto" w:sz="4" w:space="0"/>
            </w:tcBorders>
            <w:shd w:val="clear" w:color="auto" w:fill="auto"/>
            <w:vAlign w:val="center"/>
          </w:tcPr>
          <w:p>
            <w:pPr>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等线" w:cs="Times New Roman"/>
                <w:szCs w:val="21"/>
              </w:rPr>
              <w:t>128.832</w:t>
            </w:r>
          </w:p>
        </w:tc>
        <w:tc>
          <w:tcPr>
            <w:tcW w:w="811" w:type="dxa"/>
            <w:tcBorders>
              <w:left w:val="single" w:color="auto" w:sz="4" w:space="0"/>
              <w:righ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进水</w:t>
            </w:r>
          </w:p>
        </w:tc>
        <w:tc>
          <w:tcPr>
            <w:tcW w:w="905"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6682.894</w:t>
            </w:r>
          </w:p>
        </w:tc>
        <w:tc>
          <w:tcPr>
            <w:tcW w:w="1161"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2554.485</w:t>
            </w:r>
          </w:p>
        </w:tc>
        <w:tc>
          <w:tcPr>
            <w:tcW w:w="905"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254.727</w:t>
            </w:r>
          </w:p>
        </w:tc>
        <w:tc>
          <w:tcPr>
            <w:tcW w:w="1224"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1.801</w:t>
            </w:r>
          </w:p>
        </w:tc>
        <w:tc>
          <w:tcPr>
            <w:tcW w:w="1115" w:type="dxa"/>
            <w:tcBorders>
              <w:lef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14.747</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285" w:hRule="atLeast"/>
          <w:jc w:val="center"/>
        </w:trPr>
        <w:tc>
          <w:tcPr>
            <w:tcW w:w="1327" w:type="dxa"/>
            <w:vMerge w:val="continue"/>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p>
        </w:tc>
        <w:tc>
          <w:tcPr>
            <w:tcW w:w="848" w:type="dxa"/>
            <w:vMerge w:val="continue"/>
            <w:tcBorders>
              <w:left w:val="single" w:color="auto" w:sz="4" w:space="0"/>
              <w:right w:val="single" w:color="auto" w:sz="4" w:space="0"/>
            </w:tcBorders>
            <w:shd w:val="clear" w:color="auto" w:fill="auto"/>
            <w:vAlign w:val="center"/>
          </w:tcPr>
          <w:p>
            <w:pPr>
              <w:spacing w:line="240" w:lineRule="exact"/>
              <w:jc w:val="center"/>
              <w:textAlignment w:val="center"/>
              <w:rPr>
                <w:rFonts w:ascii="Times New Roman" w:hAnsi="Times New Roman" w:eastAsia="宋体" w:cs="Times New Roman"/>
                <w:szCs w:val="21"/>
              </w:rPr>
            </w:pPr>
          </w:p>
        </w:tc>
        <w:tc>
          <w:tcPr>
            <w:tcW w:w="811" w:type="dxa"/>
            <w:tcBorders>
              <w:left w:val="single" w:color="auto" w:sz="4" w:space="0"/>
              <w:righ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去除率</w:t>
            </w:r>
          </w:p>
        </w:tc>
        <w:tc>
          <w:tcPr>
            <w:tcW w:w="905" w:type="dxa"/>
            <w:tcBorders>
              <w:left w:val="single" w:color="auto" w:sz="4" w:space="0"/>
              <w:right w:val="single" w:color="auto" w:sz="4" w:space="0"/>
            </w:tcBorders>
            <w:shd w:val="clear" w:color="auto" w:fill="auto"/>
            <w:vAlign w:val="bottom"/>
          </w:tcPr>
          <w:p>
            <w:pPr>
              <w:jc w:val="center"/>
              <w:rPr>
                <w:rFonts w:ascii="Times New Roman" w:hAnsi="Times New Roman" w:eastAsia="等线" w:cs="Times New Roman"/>
                <w:sz w:val="22"/>
              </w:rPr>
            </w:pPr>
            <w:r>
              <w:rPr>
                <w:rFonts w:hint="eastAsia" w:ascii="Times New Roman" w:hAnsi="Times New Roman" w:eastAsia="等线" w:cs="Times New Roman"/>
                <w:sz w:val="22"/>
              </w:rPr>
              <w:t>20%</w:t>
            </w:r>
          </w:p>
        </w:tc>
        <w:tc>
          <w:tcPr>
            <w:tcW w:w="1161" w:type="dxa"/>
            <w:tcBorders>
              <w:left w:val="single" w:color="auto" w:sz="4" w:space="0"/>
              <w:right w:val="single" w:color="auto" w:sz="4" w:space="0"/>
            </w:tcBorders>
            <w:shd w:val="clear" w:color="auto" w:fill="auto"/>
            <w:vAlign w:val="bottom"/>
          </w:tcPr>
          <w:p>
            <w:pPr>
              <w:jc w:val="center"/>
              <w:rPr>
                <w:rFonts w:ascii="Times New Roman" w:hAnsi="Times New Roman" w:eastAsia="等线" w:cs="Times New Roman"/>
                <w:sz w:val="22"/>
              </w:rPr>
            </w:pPr>
            <w:r>
              <w:rPr>
                <w:rFonts w:hint="eastAsia" w:ascii="Times New Roman" w:hAnsi="Times New Roman" w:eastAsia="等线" w:cs="Times New Roman"/>
                <w:sz w:val="22"/>
              </w:rPr>
              <w:t>20%</w:t>
            </w:r>
          </w:p>
        </w:tc>
        <w:tc>
          <w:tcPr>
            <w:tcW w:w="905" w:type="dxa"/>
            <w:tcBorders>
              <w:left w:val="single" w:color="auto" w:sz="4" w:space="0"/>
              <w:right w:val="single" w:color="auto" w:sz="4" w:space="0"/>
            </w:tcBorders>
            <w:shd w:val="clear" w:color="auto" w:fill="auto"/>
            <w:vAlign w:val="bottom"/>
          </w:tcPr>
          <w:p>
            <w:pPr>
              <w:jc w:val="center"/>
              <w:rPr>
                <w:rFonts w:ascii="Times New Roman" w:hAnsi="Times New Roman" w:eastAsia="等线" w:cs="Times New Roman"/>
                <w:sz w:val="22"/>
              </w:rPr>
            </w:pPr>
            <w:r>
              <w:rPr>
                <w:rFonts w:hint="eastAsia" w:ascii="Times New Roman" w:hAnsi="Times New Roman" w:eastAsia="等线" w:cs="Times New Roman"/>
                <w:sz w:val="22"/>
              </w:rPr>
              <w:t>70%</w:t>
            </w:r>
          </w:p>
        </w:tc>
        <w:tc>
          <w:tcPr>
            <w:tcW w:w="1224" w:type="dxa"/>
            <w:tcBorders>
              <w:left w:val="single" w:color="auto" w:sz="4" w:space="0"/>
              <w:right w:val="single" w:color="auto" w:sz="4" w:space="0"/>
            </w:tcBorders>
            <w:shd w:val="clear" w:color="auto" w:fill="auto"/>
            <w:vAlign w:val="bottom"/>
          </w:tcPr>
          <w:p>
            <w:pPr>
              <w:jc w:val="center"/>
              <w:rPr>
                <w:rFonts w:ascii="Times New Roman" w:hAnsi="Times New Roman" w:eastAsia="等线" w:cs="Times New Roman"/>
                <w:sz w:val="22"/>
              </w:rPr>
            </w:pPr>
            <w:r>
              <w:rPr>
                <w:rFonts w:hint="eastAsia" w:ascii="Times New Roman" w:hAnsi="Times New Roman" w:eastAsia="等线" w:cs="Times New Roman"/>
                <w:sz w:val="22"/>
              </w:rPr>
              <w:t>0%</w:t>
            </w:r>
          </w:p>
        </w:tc>
        <w:tc>
          <w:tcPr>
            <w:tcW w:w="1115" w:type="dxa"/>
            <w:tcBorders>
              <w:left w:val="single" w:color="auto" w:sz="4" w:space="0"/>
            </w:tcBorders>
            <w:shd w:val="clear" w:color="auto" w:fill="auto"/>
            <w:vAlign w:val="bottom"/>
          </w:tcPr>
          <w:p>
            <w:pPr>
              <w:jc w:val="center"/>
              <w:rPr>
                <w:rFonts w:ascii="Times New Roman" w:hAnsi="Times New Roman" w:eastAsia="等线" w:cs="Times New Roman"/>
                <w:sz w:val="22"/>
              </w:rPr>
            </w:pPr>
            <w:r>
              <w:rPr>
                <w:rFonts w:hint="eastAsia" w:ascii="Times New Roman" w:hAnsi="Times New Roman" w:eastAsia="等线" w:cs="Times New Roman"/>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285" w:hRule="atLeast"/>
          <w:jc w:val="center"/>
        </w:trPr>
        <w:tc>
          <w:tcPr>
            <w:tcW w:w="1327" w:type="dxa"/>
            <w:vMerge w:val="continue"/>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p>
        </w:tc>
        <w:tc>
          <w:tcPr>
            <w:tcW w:w="848" w:type="dxa"/>
            <w:vMerge w:val="continue"/>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p>
        </w:tc>
        <w:tc>
          <w:tcPr>
            <w:tcW w:w="811" w:type="dxa"/>
            <w:tcBorders>
              <w:left w:val="single" w:color="auto" w:sz="4" w:space="0"/>
              <w:righ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出水</w:t>
            </w:r>
          </w:p>
        </w:tc>
        <w:tc>
          <w:tcPr>
            <w:tcW w:w="905"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5346.316</w:t>
            </w:r>
          </w:p>
        </w:tc>
        <w:tc>
          <w:tcPr>
            <w:tcW w:w="1161"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2043.588</w:t>
            </w:r>
          </w:p>
        </w:tc>
        <w:tc>
          <w:tcPr>
            <w:tcW w:w="905"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76.418</w:t>
            </w:r>
          </w:p>
        </w:tc>
        <w:tc>
          <w:tcPr>
            <w:tcW w:w="1224"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1.801</w:t>
            </w:r>
          </w:p>
        </w:tc>
        <w:tc>
          <w:tcPr>
            <w:tcW w:w="1115" w:type="dxa"/>
            <w:tcBorders>
              <w:lef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14.747</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285" w:hRule="atLeast"/>
          <w:jc w:val="center"/>
        </w:trPr>
        <w:tc>
          <w:tcPr>
            <w:tcW w:w="1327" w:type="dxa"/>
            <w:vMerge w:val="restart"/>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溶气气浮池</w:t>
            </w:r>
          </w:p>
        </w:tc>
        <w:tc>
          <w:tcPr>
            <w:tcW w:w="848" w:type="dxa"/>
            <w:vMerge w:val="restart"/>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hint="eastAsia" w:ascii="Times New Roman" w:hAnsi="Times New Roman" w:eastAsia="等线" w:cs="Times New Roman"/>
                <w:szCs w:val="21"/>
              </w:rPr>
              <w:t>128.832</w:t>
            </w:r>
          </w:p>
        </w:tc>
        <w:tc>
          <w:tcPr>
            <w:tcW w:w="811" w:type="dxa"/>
            <w:tcBorders>
              <w:left w:val="single" w:color="auto" w:sz="4" w:space="0"/>
              <w:righ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进水</w:t>
            </w:r>
          </w:p>
        </w:tc>
        <w:tc>
          <w:tcPr>
            <w:tcW w:w="905"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5346.316</w:t>
            </w:r>
          </w:p>
        </w:tc>
        <w:tc>
          <w:tcPr>
            <w:tcW w:w="1161"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2043.588</w:t>
            </w:r>
          </w:p>
        </w:tc>
        <w:tc>
          <w:tcPr>
            <w:tcW w:w="905"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76.418</w:t>
            </w:r>
          </w:p>
        </w:tc>
        <w:tc>
          <w:tcPr>
            <w:tcW w:w="1224"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1.801</w:t>
            </w:r>
          </w:p>
        </w:tc>
        <w:tc>
          <w:tcPr>
            <w:tcW w:w="1115" w:type="dxa"/>
            <w:tcBorders>
              <w:left w:val="single" w:color="auto" w:sz="4" w:space="0"/>
            </w:tcBorders>
            <w:shd w:val="clear" w:color="auto" w:fill="auto"/>
            <w:vAlign w:val="center"/>
          </w:tcPr>
          <w:p>
            <w:pPr>
              <w:jc w:val="center"/>
              <w:rPr>
                <w:rFonts w:ascii="Times New Roman" w:hAnsi="Times New Roman" w:eastAsia="等线" w:cs="Times New Roman"/>
                <w:sz w:val="22"/>
              </w:rPr>
            </w:pPr>
            <w:r>
              <w:rPr>
                <w:rFonts w:ascii="Times New Roman" w:hAnsi="Times New Roman" w:eastAsia="等线" w:cs="Times New Roman"/>
                <w:sz w:val="22"/>
              </w:rPr>
              <w:t>14.747</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285" w:hRule="atLeast"/>
          <w:jc w:val="center"/>
        </w:trPr>
        <w:tc>
          <w:tcPr>
            <w:tcW w:w="1327" w:type="dxa"/>
            <w:vMerge w:val="continue"/>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p>
        </w:tc>
        <w:tc>
          <w:tcPr>
            <w:tcW w:w="848" w:type="dxa"/>
            <w:vMerge w:val="continue"/>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p>
        </w:tc>
        <w:tc>
          <w:tcPr>
            <w:tcW w:w="811" w:type="dxa"/>
            <w:tcBorders>
              <w:left w:val="single" w:color="auto" w:sz="4" w:space="0"/>
              <w:righ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去除率</w:t>
            </w:r>
          </w:p>
        </w:tc>
        <w:tc>
          <w:tcPr>
            <w:tcW w:w="905" w:type="dxa"/>
            <w:tcBorders>
              <w:left w:val="single" w:color="auto" w:sz="4" w:space="0"/>
              <w:right w:val="single" w:color="auto" w:sz="4" w:space="0"/>
            </w:tcBorders>
            <w:shd w:val="clear" w:color="auto" w:fill="auto"/>
            <w:vAlign w:val="bottom"/>
          </w:tcPr>
          <w:p>
            <w:pPr>
              <w:jc w:val="center"/>
              <w:rPr>
                <w:rFonts w:ascii="Times New Roman" w:hAnsi="Times New Roman" w:eastAsia="等线" w:cs="Times New Roman"/>
                <w:sz w:val="22"/>
              </w:rPr>
            </w:pPr>
            <w:r>
              <w:rPr>
                <w:rFonts w:hint="eastAsia" w:ascii="Times New Roman" w:hAnsi="Times New Roman" w:eastAsia="等线" w:cs="Times New Roman"/>
                <w:sz w:val="22"/>
              </w:rPr>
              <w:t>20%</w:t>
            </w:r>
          </w:p>
        </w:tc>
        <w:tc>
          <w:tcPr>
            <w:tcW w:w="1161" w:type="dxa"/>
            <w:tcBorders>
              <w:left w:val="single" w:color="auto" w:sz="4" w:space="0"/>
              <w:right w:val="single" w:color="auto" w:sz="4" w:space="0"/>
            </w:tcBorders>
            <w:shd w:val="clear" w:color="auto" w:fill="auto"/>
            <w:vAlign w:val="bottom"/>
          </w:tcPr>
          <w:p>
            <w:pPr>
              <w:jc w:val="center"/>
              <w:rPr>
                <w:rFonts w:ascii="Times New Roman" w:hAnsi="Times New Roman" w:eastAsia="等线" w:cs="Times New Roman"/>
                <w:sz w:val="22"/>
              </w:rPr>
            </w:pPr>
            <w:r>
              <w:rPr>
                <w:rFonts w:hint="eastAsia" w:ascii="Times New Roman" w:hAnsi="Times New Roman" w:eastAsia="等线" w:cs="Times New Roman"/>
                <w:sz w:val="22"/>
              </w:rPr>
              <w:t>20%</w:t>
            </w:r>
          </w:p>
        </w:tc>
        <w:tc>
          <w:tcPr>
            <w:tcW w:w="905" w:type="dxa"/>
            <w:tcBorders>
              <w:left w:val="single" w:color="auto" w:sz="4" w:space="0"/>
              <w:right w:val="single" w:color="auto" w:sz="4" w:space="0"/>
            </w:tcBorders>
            <w:shd w:val="clear" w:color="auto" w:fill="auto"/>
            <w:vAlign w:val="bottom"/>
          </w:tcPr>
          <w:p>
            <w:pPr>
              <w:jc w:val="center"/>
              <w:rPr>
                <w:rFonts w:ascii="Times New Roman" w:hAnsi="Times New Roman" w:eastAsia="等线" w:cs="Times New Roman"/>
                <w:sz w:val="22"/>
              </w:rPr>
            </w:pPr>
            <w:r>
              <w:rPr>
                <w:rFonts w:hint="eastAsia" w:ascii="Times New Roman" w:hAnsi="Times New Roman" w:eastAsia="等线" w:cs="Times New Roman"/>
                <w:sz w:val="22"/>
              </w:rPr>
              <w:t>65%</w:t>
            </w:r>
          </w:p>
        </w:tc>
        <w:tc>
          <w:tcPr>
            <w:tcW w:w="1224" w:type="dxa"/>
            <w:tcBorders>
              <w:left w:val="single" w:color="auto" w:sz="4" w:space="0"/>
              <w:right w:val="single" w:color="auto" w:sz="4" w:space="0"/>
            </w:tcBorders>
            <w:shd w:val="clear" w:color="auto" w:fill="auto"/>
            <w:vAlign w:val="bottom"/>
          </w:tcPr>
          <w:p>
            <w:pPr>
              <w:jc w:val="center"/>
              <w:rPr>
                <w:rFonts w:ascii="Times New Roman" w:hAnsi="Times New Roman" w:eastAsia="等线" w:cs="Times New Roman"/>
                <w:sz w:val="22"/>
              </w:rPr>
            </w:pPr>
            <w:r>
              <w:rPr>
                <w:rFonts w:hint="eastAsia" w:ascii="Times New Roman" w:hAnsi="Times New Roman" w:eastAsia="等线" w:cs="Times New Roman"/>
                <w:sz w:val="22"/>
              </w:rPr>
              <w:t>0%</w:t>
            </w:r>
          </w:p>
        </w:tc>
        <w:tc>
          <w:tcPr>
            <w:tcW w:w="1115" w:type="dxa"/>
            <w:tcBorders>
              <w:left w:val="single" w:color="auto" w:sz="4" w:space="0"/>
            </w:tcBorders>
            <w:shd w:val="clear" w:color="auto" w:fill="auto"/>
            <w:vAlign w:val="bottom"/>
          </w:tcPr>
          <w:p>
            <w:pPr>
              <w:jc w:val="center"/>
              <w:rPr>
                <w:rFonts w:ascii="Times New Roman" w:hAnsi="Times New Roman" w:eastAsia="等线" w:cs="Times New Roman"/>
                <w:sz w:val="22"/>
              </w:rPr>
            </w:pPr>
            <w:r>
              <w:rPr>
                <w:rFonts w:hint="eastAsia" w:ascii="Times New Roman" w:hAnsi="Times New Roman" w:eastAsia="等线" w:cs="Times New Roman"/>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285" w:hRule="atLeast"/>
          <w:jc w:val="center"/>
        </w:trPr>
        <w:tc>
          <w:tcPr>
            <w:tcW w:w="1327" w:type="dxa"/>
            <w:vMerge w:val="continue"/>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p>
        </w:tc>
        <w:tc>
          <w:tcPr>
            <w:tcW w:w="848" w:type="dxa"/>
            <w:vMerge w:val="continue"/>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p>
        </w:tc>
        <w:tc>
          <w:tcPr>
            <w:tcW w:w="811" w:type="dxa"/>
            <w:tcBorders>
              <w:left w:val="single" w:color="auto" w:sz="4" w:space="0"/>
              <w:righ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出水</w:t>
            </w:r>
          </w:p>
        </w:tc>
        <w:tc>
          <w:tcPr>
            <w:tcW w:w="905" w:type="dxa"/>
            <w:tcBorders>
              <w:left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szCs w:val="21"/>
              </w:rPr>
            </w:pPr>
            <w:r>
              <w:rPr>
                <w:rFonts w:ascii="Times New Roman" w:hAnsi="Times New Roman" w:eastAsia="等线" w:cs="Times New Roman"/>
                <w:sz w:val="22"/>
              </w:rPr>
              <w:t>4277.052</w:t>
            </w:r>
          </w:p>
        </w:tc>
        <w:tc>
          <w:tcPr>
            <w:tcW w:w="1161"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1634.870</w:t>
            </w:r>
          </w:p>
        </w:tc>
        <w:tc>
          <w:tcPr>
            <w:tcW w:w="905"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26.746</w:t>
            </w:r>
          </w:p>
        </w:tc>
        <w:tc>
          <w:tcPr>
            <w:tcW w:w="1224"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1.801</w:t>
            </w:r>
          </w:p>
        </w:tc>
        <w:tc>
          <w:tcPr>
            <w:tcW w:w="1115" w:type="dxa"/>
            <w:tcBorders>
              <w:lef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14.747</w:t>
            </w:r>
          </w:p>
        </w:tc>
      </w:tr>
    </w:tbl>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预处理后的含油废水与生活污水混合后进入生化处理，</w:t>
      </w:r>
      <w:r>
        <w:rPr>
          <w:rFonts w:ascii="Times New Roman" w:hAnsi="Times New Roman" w:eastAsia="宋体" w:cs="Times New Roman"/>
          <w:sz w:val="24"/>
          <w:szCs w:val="24"/>
        </w:rPr>
        <w:t>混合</w:t>
      </w:r>
      <w:r>
        <w:rPr>
          <w:rFonts w:hint="eastAsia" w:ascii="Times New Roman" w:hAnsi="Times New Roman" w:eastAsia="宋体" w:cs="Times New Roman"/>
          <w:sz w:val="24"/>
          <w:szCs w:val="24"/>
        </w:rPr>
        <w:t>后的水质见表5.2</w:t>
      </w: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黑体" w:cs="Times New Roman"/>
          <w:sz w:val="24"/>
        </w:rPr>
      </w:pPr>
      <w:r>
        <w:rPr>
          <w:rFonts w:ascii="Times New Roman" w:hAnsi="Times New Roman" w:eastAsia="黑体" w:cs="Times New Roman"/>
          <w:sz w:val="24"/>
        </w:rPr>
        <w:t>表5.2-3</w:t>
      </w:r>
      <w:r>
        <w:rPr>
          <w:rFonts w:hint="eastAsia" w:ascii="Times New Roman" w:hAnsi="Times New Roman" w:eastAsia="黑体" w:cs="Times New Roman"/>
          <w:sz w:val="24"/>
        </w:rPr>
        <w:t xml:space="preserve">    </w:t>
      </w:r>
      <w:r>
        <w:rPr>
          <w:rFonts w:ascii="Times New Roman" w:hAnsi="Times New Roman" w:eastAsia="黑体" w:cs="Times New Roman"/>
          <w:sz w:val="24"/>
        </w:rPr>
        <w:t xml:space="preserve">    </w:t>
      </w:r>
      <w:r>
        <w:rPr>
          <w:rFonts w:hint="eastAsia" w:ascii="Times New Roman" w:hAnsi="Times New Roman" w:eastAsia="黑体" w:cs="Times New Roman"/>
          <w:sz w:val="24"/>
        </w:rPr>
        <w:t>变更后含油废水预处理进、出水</w:t>
      </w:r>
      <w:r>
        <w:rPr>
          <w:rFonts w:ascii="Times New Roman" w:hAnsi="Times New Roman" w:eastAsia="黑体" w:cs="Times New Roman"/>
          <w:sz w:val="24"/>
        </w:rPr>
        <w:t>水质情况一览表</w:t>
      </w:r>
    </w:p>
    <w:tbl>
      <w:tblPr>
        <w:tblStyle w:val="19"/>
        <w:tblW w:w="83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
      <w:tblGrid>
        <w:gridCol w:w="1407"/>
        <w:gridCol w:w="1171"/>
        <w:gridCol w:w="1139"/>
        <w:gridCol w:w="1041"/>
        <w:gridCol w:w="1059"/>
        <w:gridCol w:w="1436"/>
        <w:gridCol w:w="1088"/>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285" w:hRule="atLeast"/>
          <w:jc w:val="center"/>
        </w:trPr>
        <w:tc>
          <w:tcPr>
            <w:tcW w:w="1407" w:type="dxa"/>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项目</w:t>
            </w:r>
          </w:p>
        </w:tc>
        <w:tc>
          <w:tcPr>
            <w:tcW w:w="1171"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水量</w:t>
            </w:r>
          </w:p>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3</w:t>
            </w:r>
            <w:r>
              <w:rPr>
                <w:rFonts w:ascii="Times New Roman" w:hAnsi="Times New Roman" w:eastAsia="宋体" w:cs="Times New Roman"/>
                <w:szCs w:val="21"/>
              </w:rPr>
              <w:t>/d）</w:t>
            </w:r>
          </w:p>
        </w:tc>
        <w:tc>
          <w:tcPr>
            <w:tcW w:w="1139"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COD</w:t>
            </w:r>
          </w:p>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（mg/L）</w:t>
            </w:r>
          </w:p>
        </w:tc>
        <w:tc>
          <w:tcPr>
            <w:tcW w:w="1041"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BOD</w:t>
            </w:r>
            <w:r>
              <w:rPr>
                <w:rFonts w:ascii="Times New Roman" w:hAnsi="Times New Roman" w:eastAsia="宋体" w:cs="Times New Roman"/>
                <w:szCs w:val="21"/>
                <w:vertAlign w:val="subscript"/>
              </w:rPr>
              <w:t>5</w:t>
            </w:r>
            <w:r>
              <w:rPr>
                <w:rFonts w:ascii="Times New Roman" w:hAnsi="Times New Roman" w:eastAsia="宋体" w:cs="Times New Roman"/>
                <w:szCs w:val="21"/>
              </w:rPr>
              <w:t>（mg/L）</w:t>
            </w:r>
          </w:p>
        </w:tc>
        <w:tc>
          <w:tcPr>
            <w:tcW w:w="1059"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石油</w:t>
            </w:r>
          </w:p>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（mg/L）</w:t>
            </w:r>
          </w:p>
        </w:tc>
        <w:tc>
          <w:tcPr>
            <w:tcW w:w="1436"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硫化物</w:t>
            </w:r>
            <w:r>
              <w:rPr>
                <w:rFonts w:ascii="Times New Roman" w:hAnsi="Times New Roman" w:eastAsia="宋体" w:cs="Times New Roman"/>
                <w:kern w:val="0"/>
                <w:szCs w:val="21"/>
              </w:rPr>
              <w:t>（mg/L）</w:t>
            </w:r>
          </w:p>
        </w:tc>
        <w:tc>
          <w:tcPr>
            <w:tcW w:w="1088" w:type="dxa"/>
            <w:tcBorders>
              <w:lef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氨氮（mg/L）</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285" w:hRule="atLeast"/>
          <w:jc w:val="center"/>
        </w:trPr>
        <w:tc>
          <w:tcPr>
            <w:tcW w:w="1407" w:type="dxa"/>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含油混合废水</w:t>
            </w:r>
          </w:p>
        </w:tc>
        <w:tc>
          <w:tcPr>
            <w:tcW w:w="1171"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等线" w:cs="Times New Roman"/>
                <w:szCs w:val="21"/>
              </w:rPr>
              <w:t>128.832</w:t>
            </w:r>
          </w:p>
        </w:tc>
        <w:tc>
          <w:tcPr>
            <w:tcW w:w="1139" w:type="dxa"/>
            <w:tcBorders>
              <w:left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szCs w:val="21"/>
              </w:rPr>
            </w:pPr>
            <w:r>
              <w:rPr>
                <w:rFonts w:ascii="Times New Roman" w:hAnsi="Times New Roman" w:eastAsia="等线" w:cs="Times New Roman"/>
                <w:sz w:val="22"/>
              </w:rPr>
              <w:t>4277.052</w:t>
            </w:r>
          </w:p>
        </w:tc>
        <w:tc>
          <w:tcPr>
            <w:tcW w:w="1041"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1634.870</w:t>
            </w:r>
          </w:p>
        </w:tc>
        <w:tc>
          <w:tcPr>
            <w:tcW w:w="1059"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26.746</w:t>
            </w:r>
          </w:p>
        </w:tc>
        <w:tc>
          <w:tcPr>
            <w:tcW w:w="1436"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1.801</w:t>
            </w:r>
          </w:p>
        </w:tc>
        <w:tc>
          <w:tcPr>
            <w:tcW w:w="1088" w:type="dxa"/>
            <w:tcBorders>
              <w:lef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14.747</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285" w:hRule="atLeast"/>
          <w:jc w:val="center"/>
        </w:trPr>
        <w:tc>
          <w:tcPr>
            <w:tcW w:w="1407" w:type="dxa"/>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生活污水</w:t>
            </w:r>
          </w:p>
        </w:tc>
        <w:tc>
          <w:tcPr>
            <w:tcW w:w="1171"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6.4</w:t>
            </w:r>
          </w:p>
        </w:tc>
        <w:tc>
          <w:tcPr>
            <w:tcW w:w="1139"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等线" w:cs="Times New Roman"/>
                <w:szCs w:val="21"/>
              </w:rPr>
              <w:t>300</w:t>
            </w:r>
          </w:p>
        </w:tc>
        <w:tc>
          <w:tcPr>
            <w:tcW w:w="1041"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等线" w:cs="Times New Roman"/>
                <w:szCs w:val="21"/>
              </w:rPr>
              <w:t>150</w:t>
            </w:r>
          </w:p>
        </w:tc>
        <w:tc>
          <w:tcPr>
            <w:tcW w:w="1059"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等线" w:cs="Times New Roman"/>
                <w:szCs w:val="21"/>
              </w:rPr>
              <w:t>0</w:t>
            </w:r>
          </w:p>
        </w:tc>
        <w:tc>
          <w:tcPr>
            <w:tcW w:w="1436"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等线" w:cs="Times New Roman"/>
                <w:szCs w:val="21"/>
              </w:rPr>
              <w:t>0</w:t>
            </w:r>
          </w:p>
        </w:tc>
        <w:tc>
          <w:tcPr>
            <w:tcW w:w="1088" w:type="dxa"/>
            <w:tcBorders>
              <w:lef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等线" w:cs="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285" w:hRule="atLeast"/>
          <w:jc w:val="center"/>
        </w:trPr>
        <w:tc>
          <w:tcPr>
            <w:tcW w:w="1407" w:type="dxa"/>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混合水</w:t>
            </w:r>
          </w:p>
        </w:tc>
        <w:tc>
          <w:tcPr>
            <w:tcW w:w="1171" w:type="dxa"/>
            <w:tcBorders>
              <w:left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szCs w:val="21"/>
              </w:rPr>
            </w:pPr>
            <w:r>
              <w:rPr>
                <w:rFonts w:ascii="Times New Roman" w:hAnsi="Times New Roman" w:eastAsia="等线" w:cs="Times New Roman"/>
                <w:sz w:val="22"/>
              </w:rPr>
              <w:t>135.232</w:t>
            </w:r>
          </w:p>
        </w:tc>
        <w:tc>
          <w:tcPr>
            <w:tcW w:w="1139"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4088.834 </w:t>
            </w:r>
          </w:p>
        </w:tc>
        <w:tc>
          <w:tcPr>
            <w:tcW w:w="1041"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1564.597 </w:t>
            </w:r>
          </w:p>
        </w:tc>
        <w:tc>
          <w:tcPr>
            <w:tcW w:w="1059"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25.481 </w:t>
            </w:r>
          </w:p>
        </w:tc>
        <w:tc>
          <w:tcPr>
            <w:tcW w:w="1436"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1.716 </w:t>
            </w:r>
          </w:p>
        </w:tc>
        <w:tc>
          <w:tcPr>
            <w:tcW w:w="1088" w:type="dxa"/>
            <w:tcBorders>
              <w:lef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15.942</w:t>
            </w:r>
          </w:p>
        </w:tc>
      </w:tr>
    </w:tbl>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污水处理站</w:t>
      </w:r>
      <w:r>
        <w:rPr>
          <w:rFonts w:hint="eastAsia" w:ascii="Times New Roman" w:hAnsi="Times New Roman" w:eastAsia="宋体" w:cs="Times New Roman"/>
          <w:sz w:val="24"/>
          <w:szCs w:val="24"/>
        </w:rPr>
        <w:t>生化处理单元</w:t>
      </w:r>
      <w:r>
        <w:rPr>
          <w:rFonts w:ascii="Times New Roman" w:hAnsi="Times New Roman" w:eastAsia="宋体" w:cs="Times New Roman"/>
          <w:sz w:val="24"/>
          <w:szCs w:val="24"/>
        </w:rPr>
        <w:t>设计进、出水水质情况见表5.2-4。</w:t>
      </w:r>
    </w:p>
    <w:p>
      <w:pPr>
        <w:spacing w:line="480" w:lineRule="exact"/>
        <w:ind w:firstLine="480" w:firstLineChars="200"/>
        <w:rPr>
          <w:rFonts w:ascii="Times New Roman" w:hAnsi="Times New Roman" w:eastAsia="黑体" w:cs="Times New Roman"/>
          <w:sz w:val="24"/>
        </w:rPr>
      </w:pPr>
      <w:bookmarkStart w:id="88" w:name="bookmark347"/>
      <w:r>
        <w:rPr>
          <w:rFonts w:ascii="Times New Roman" w:hAnsi="Times New Roman" w:eastAsia="黑体" w:cs="Times New Roman"/>
          <w:sz w:val="24"/>
        </w:rPr>
        <w:t>表5.2-4</w:t>
      </w:r>
      <w:r>
        <w:rPr>
          <w:rFonts w:hint="eastAsia" w:ascii="Times New Roman" w:hAnsi="Times New Roman" w:eastAsia="黑体" w:cs="Times New Roman"/>
          <w:sz w:val="24"/>
        </w:rPr>
        <w:t xml:space="preserve">    变更后</w:t>
      </w:r>
      <w:r>
        <w:rPr>
          <w:rFonts w:ascii="Times New Roman" w:hAnsi="Times New Roman" w:eastAsia="黑体" w:cs="Times New Roman"/>
          <w:sz w:val="24"/>
        </w:rPr>
        <w:t>污水处理站设计进、出水水质情况一览表</w:t>
      </w:r>
      <w:bookmarkEnd w:id="88"/>
    </w:p>
    <w:tbl>
      <w:tblPr>
        <w:tblStyle w:val="1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
      <w:tblGrid>
        <w:gridCol w:w="1064"/>
        <w:gridCol w:w="874"/>
        <w:gridCol w:w="850"/>
        <w:gridCol w:w="905"/>
        <w:gridCol w:w="905"/>
        <w:gridCol w:w="905"/>
        <w:gridCol w:w="1082"/>
        <w:gridCol w:w="905"/>
        <w:gridCol w:w="806"/>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315" w:hRule="atLeast"/>
          <w:jc w:val="center"/>
        </w:trPr>
        <w:tc>
          <w:tcPr>
            <w:tcW w:w="1064" w:type="dxa"/>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工段</w:t>
            </w:r>
          </w:p>
        </w:tc>
        <w:tc>
          <w:tcPr>
            <w:tcW w:w="874"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水量</w:t>
            </w:r>
          </w:p>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（m</w:t>
            </w:r>
            <w:r>
              <w:rPr>
                <w:rFonts w:ascii="Times New Roman" w:hAnsi="Times New Roman" w:eastAsia="宋体" w:cs="Times New Roman"/>
                <w:szCs w:val="21"/>
                <w:vertAlign w:val="superscript"/>
              </w:rPr>
              <w:t>3</w:t>
            </w:r>
            <w:r>
              <w:rPr>
                <w:rFonts w:ascii="Times New Roman" w:hAnsi="Times New Roman" w:eastAsia="宋体" w:cs="Times New Roman"/>
                <w:szCs w:val="21"/>
              </w:rPr>
              <w:t>/d）</w:t>
            </w:r>
          </w:p>
        </w:tc>
        <w:tc>
          <w:tcPr>
            <w:tcW w:w="850" w:type="dxa"/>
            <w:tcBorders>
              <w:left w:val="single" w:color="auto" w:sz="4" w:space="0"/>
              <w:righ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指标</w:t>
            </w:r>
          </w:p>
        </w:tc>
        <w:tc>
          <w:tcPr>
            <w:tcW w:w="905"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COD</w:t>
            </w:r>
          </w:p>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（mg/L）</w:t>
            </w:r>
          </w:p>
        </w:tc>
        <w:tc>
          <w:tcPr>
            <w:tcW w:w="905"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BOD</w:t>
            </w:r>
            <w:r>
              <w:rPr>
                <w:rFonts w:ascii="Times New Roman" w:hAnsi="Times New Roman" w:eastAsia="宋体" w:cs="Times New Roman"/>
                <w:szCs w:val="21"/>
                <w:vertAlign w:val="subscript"/>
              </w:rPr>
              <w:t>5</w:t>
            </w:r>
            <w:r>
              <w:rPr>
                <w:rFonts w:ascii="Times New Roman" w:hAnsi="Times New Roman" w:eastAsia="宋体" w:cs="Times New Roman"/>
                <w:szCs w:val="21"/>
              </w:rPr>
              <w:t>（mg/L）</w:t>
            </w:r>
          </w:p>
        </w:tc>
        <w:tc>
          <w:tcPr>
            <w:tcW w:w="905"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石油</w:t>
            </w:r>
          </w:p>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（mg/L）</w:t>
            </w:r>
          </w:p>
        </w:tc>
        <w:tc>
          <w:tcPr>
            <w:tcW w:w="1082"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硫化氢（mg/L）</w:t>
            </w:r>
          </w:p>
        </w:tc>
        <w:tc>
          <w:tcPr>
            <w:tcW w:w="905" w:type="dxa"/>
            <w:tcBorders>
              <w:lef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氨氮（mg/L）</w:t>
            </w:r>
          </w:p>
        </w:tc>
        <w:tc>
          <w:tcPr>
            <w:tcW w:w="806" w:type="dxa"/>
            <w:tcBorders>
              <w:left w:val="single" w:color="auto" w:sz="4" w:space="0"/>
            </w:tcBorders>
            <w:vAlign w:val="center"/>
          </w:tcPr>
          <w:p>
            <w:pPr>
              <w:widowControl/>
              <w:spacing w:line="240" w:lineRule="exact"/>
              <w:jc w:val="center"/>
              <w:textAlignment w:val="center"/>
              <w:rPr>
                <w:rFonts w:ascii="宋体" w:hAnsi="宋体" w:eastAsia="宋体" w:cs="Times New Roman"/>
                <w:kern w:val="0"/>
                <w:szCs w:val="21"/>
              </w:rPr>
            </w:pPr>
            <w:r>
              <w:rPr>
                <w:rFonts w:hint="eastAsia" w:ascii="宋体" w:hAnsi="宋体" w:eastAsia="宋体" w:cs="Times New Roman"/>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285" w:hRule="atLeast"/>
          <w:jc w:val="center"/>
        </w:trPr>
        <w:tc>
          <w:tcPr>
            <w:tcW w:w="1064" w:type="dxa"/>
            <w:tcBorders>
              <w:right w:val="single" w:color="auto" w:sz="4" w:space="0"/>
            </w:tcBorders>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kern w:val="0"/>
                <w:szCs w:val="21"/>
              </w:rPr>
              <w:t>调节池</w:t>
            </w:r>
          </w:p>
        </w:tc>
        <w:tc>
          <w:tcPr>
            <w:tcW w:w="874"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等线" w:cs="Times New Roman"/>
                <w:szCs w:val="21"/>
              </w:rPr>
              <w:t>135.232</w:t>
            </w:r>
          </w:p>
        </w:tc>
        <w:tc>
          <w:tcPr>
            <w:tcW w:w="850" w:type="dxa"/>
            <w:tcBorders>
              <w:left w:val="single" w:color="auto" w:sz="4" w:space="0"/>
              <w:righ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水质</w:t>
            </w:r>
          </w:p>
        </w:tc>
        <w:tc>
          <w:tcPr>
            <w:tcW w:w="905" w:type="dxa"/>
            <w:tcBorders>
              <w:left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szCs w:val="21"/>
              </w:rPr>
            </w:pPr>
            <w:r>
              <w:rPr>
                <w:rFonts w:ascii="Times New Roman" w:hAnsi="Times New Roman" w:eastAsia="等线" w:cs="Times New Roman"/>
                <w:sz w:val="22"/>
              </w:rPr>
              <w:t xml:space="preserve">4088.834 </w:t>
            </w:r>
          </w:p>
        </w:tc>
        <w:tc>
          <w:tcPr>
            <w:tcW w:w="905"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1564.597 </w:t>
            </w:r>
          </w:p>
        </w:tc>
        <w:tc>
          <w:tcPr>
            <w:tcW w:w="905"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25.481 </w:t>
            </w:r>
          </w:p>
        </w:tc>
        <w:tc>
          <w:tcPr>
            <w:tcW w:w="1082"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1.716 </w:t>
            </w:r>
          </w:p>
        </w:tc>
        <w:tc>
          <w:tcPr>
            <w:tcW w:w="905" w:type="dxa"/>
            <w:tcBorders>
              <w:left w:val="single" w:color="auto" w:sz="4" w:space="0"/>
            </w:tcBorders>
            <w:shd w:val="clear" w:color="auto" w:fill="auto"/>
            <w:vAlign w:val="center"/>
          </w:tcPr>
          <w:p>
            <w:pPr>
              <w:widowControl/>
              <w:jc w:val="center"/>
              <w:rPr>
                <w:rFonts w:ascii="Times New Roman" w:hAnsi="Times New Roman" w:eastAsia="等线" w:cs="Times New Roman"/>
                <w:szCs w:val="21"/>
              </w:rPr>
            </w:pPr>
            <w:r>
              <w:rPr>
                <w:rFonts w:ascii="Times New Roman" w:hAnsi="Times New Roman" w:eastAsia="等线" w:cs="Times New Roman"/>
                <w:sz w:val="22"/>
              </w:rPr>
              <w:t xml:space="preserve">74.000 </w:t>
            </w:r>
          </w:p>
        </w:tc>
        <w:tc>
          <w:tcPr>
            <w:tcW w:w="806" w:type="dxa"/>
            <w:tcBorders>
              <w:left w:val="single" w:color="auto" w:sz="4" w:space="0"/>
            </w:tcBorders>
            <w:vAlign w:val="center"/>
          </w:tcPr>
          <w:p>
            <w:pPr>
              <w:widowControl/>
              <w:jc w:val="center"/>
              <w:rPr>
                <w:rFonts w:ascii="宋体" w:hAnsi="宋体" w:eastAsia="宋体" w:cs="Times New Roman"/>
                <w:szCs w:val="21"/>
              </w:rPr>
            </w:pPr>
            <w:r>
              <w:rPr>
                <w:rFonts w:hint="eastAsia" w:ascii="宋体" w:hAnsi="宋体" w:eastAsia="宋体" w:cs="Times New Roman"/>
                <w:szCs w:val="21"/>
              </w:rPr>
              <w:t>补氮补磷</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285" w:hRule="atLeast"/>
          <w:jc w:val="center"/>
        </w:trPr>
        <w:tc>
          <w:tcPr>
            <w:tcW w:w="1064" w:type="dxa"/>
            <w:vMerge w:val="restart"/>
            <w:tcBorders>
              <w:right w:val="single" w:color="auto" w:sz="4" w:space="0"/>
            </w:tcBorders>
            <w:shd w:val="clear" w:color="auto" w:fill="auto"/>
            <w:vAlign w:val="center"/>
          </w:tcPr>
          <w:p>
            <w:pPr>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UASB</w:t>
            </w:r>
          </w:p>
        </w:tc>
        <w:tc>
          <w:tcPr>
            <w:tcW w:w="874" w:type="dxa"/>
            <w:vMerge w:val="restart"/>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等线" w:cs="Times New Roman"/>
                <w:szCs w:val="21"/>
              </w:rPr>
              <w:t>135.232</w:t>
            </w:r>
          </w:p>
        </w:tc>
        <w:tc>
          <w:tcPr>
            <w:tcW w:w="850" w:type="dxa"/>
            <w:tcBorders>
              <w:left w:val="single" w:color="auto" w:sz="4" w:space="0"/>
              <w:righ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进水</w:t>
            </w:r>
          </w:p>
        </w:tc>
        <w:tc>
          <w:tcPr>
            <w:tcW w:w="905" w:type="dxa"/>
            <w:tcBorders>
              <w:left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szCs w:val="21"/>
              </w:rPr>
            </w:pPr>
            <w:r>
              <w:rPr>
                <w:rFonts w:ascii="Times New Roman" w:hAnsi="Times New Roman" w:eastAsia="等线" w:cs="Times New Roman"/>
                <w:sz w:val="22"/>
              </w:rPr>
              <w:t xml:space="preserve">4088.834 </w:t>
            </w:r>
          </w:p>
        </w:tc>
        <w:tc>
          <w:tcPr>
            <w:tcW w:w="905"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1564.597 </w:t>
            </w:r>
          </w:p>
        </w:tc>
        <w:tc>
          <w:tcPr>
            <w:tcW w:w="905"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25.481 </w:t>
            </w:r>
          </w:p>
        </w:tc>
        <w:tc>
          <w:tcPr>
            <w:tcW w:w="1082"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1.716 </w:t>
            </w:r>
          </w:p>
        </w:tc>
        <w:tc>
          <w:tcPr>
            <w:tcW w:w="905" w:type="dxa"/>
            <w:tcBorders>
              <w:left w:val="single" w:color="auto" w:sz="4" w:space="0"/>
            </w:tcBorders>
            <w:shd w:val="clear" w:color="auto" w:fill="auto"/>
            <w:vAlign w:val="center"/>
          </w:tcPr>
          <w:p>
            <w:pPr>
              <w:widowControl/>
              <w:jc w:val="center"/>
              <w:rPr>
                <w:rFonts w:ascii="Times New Roman" w:hAnsi="Times New Roman" w:eastAsia="等线" w:cs="Times New Roman"/>
                <w:szCs w:val="21"/>
              </w:rPr>
            </w:pPr>
            <w:r>
              <w:rPr>
                <w:rFonts w:ascii="Times New Roman" w:hAnsi="Times New Roman" w:eastAsia="等线" w:cs="Times New Roman"/>
                <w:sz w:val="22"/>
              </w:rPr>
              <w:t xml:space="preserve">74.000 </w:t>
            </w:r>
          </w:p>
        </w:tc>
        <w:tc>
          <w:tcPr>
            <w:tcW w:w="806" w:type="dxa"/>
            <w:tcBorders>
              <w:left w:val="single" w:color="auto" w:sz="4" w:space="0"/>
            </w:tcBorders>
            <w:vAlign w:val="center"/>
          </w:tcPr>
          <w:p>
            <w:pPr>
              <w:widowControl/>
              <w:jc w:val="center"/>
              <w:rPr>
                <w:rFonts w:ascii="Times New Roman" w:hAnsi="Times New Roman"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285" w:hRule="atLeast"/>
          <w:jc w:val="center"/>
        </w:trPr>
        <w:tc>
          <w:tcPr>
            <w:tcW w:w="1064" w:type="dxa"/>
            <w:vMerge w:val="continue"/>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p>
        </w:tc>
        <w:tc>
          <w:tcPr>
            <w:tcW w:w="874" w:type="dxa"/>
            <w:vMerge w:val="continue"/>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p>
        </w:tc>
        <w:tc>
          <w:tcPr>
            <w:tcW w:w="850" w:type="dxa"/>
            <w:tcBorders>
              <w:left w:val="single" w:color="auto" w:sz="4" w:space="0"/>
              <w:righ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去除率</w:t>
            </w:r>
          </w:p>
        </w:tc>
        <w:tc>
          <w:tcPr>
            <w:tcW w:w="905"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等线" w:cs="Times New Roman"/>
                <w:sz w:val="22"/>
              </w:rPr>
              <w:t>80%</w:t>
            </w:r>
          </w:p>
        </w:tc>
        <w:tc>
          <w:tcPr>
            <w:tcW w:w="905"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等线" w:cs="Times New Roman"/>
                <w:sz w:val="22"/>
              </w:rPr>
              <w:t>85%</w:t>
            </w:r>
          </w:p>
        </w:tc>
        <w:tc>
          <w:tcPr>
            <w:tcW w:w="905"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等线" w:cs="Times New Roman"/>
                <w:sz w:val="22"/>
              </w:rPr>
              <w:t>50%</w:t>
            </w:r>
          </w:p>
        </w:tc>
        <w:tc>
          <w:tcPr>
            <w:tcW w:w="1082"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等线" w:cs="Times New Roman"/>
                <w:sz w:val="22"/>
              </w:rPr>
              <w:t>60%</w:t>
            </w:r>
          </w:p>
        </w:tc>
        <w:tc>
          <w:tcPr>
            <w:tcW w:w="905" w:type="dxa"/>
            <w:tcBorders>
              <w:lef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等线" w:cs="Times New Roman"/>
                <w:sz w:val="22"/>
              </w:rPr>
              <w:t>40%</w:t>
            </w:r>
          </w:p>
        </w:tc>
        <w:tc>
          <w:tcPr>
            <w:tcW w:w="806" w:type="dxa"/>
            <w:tcBorders>
              <w:lef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285" w:hRule="atLeast"/>
          <w:jc w:val="center"/>
        </w:trPr>
        <w:tc>
          <w:tcPr>
            <w:tcW w:w="1064" w:type="dxa"/>
            <w:vMerge w:val="continue"/>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p>
        </w:tc>
        <w:tc>
          <w:tcPr>
            <w:tcW w:w="874" w:type="dxa"/>
            <w:vMerge w:val="continue"/>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p>
        </w:tc>
        <w:tc>
          <w:tcPr>
            <w:tcW w:w="850" w:type="dxa"/>
            <w:tcBorders>
              <w:left w:val="single" w:color="auto" w:sz="4" w:space="0"/>
              <w:righ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出水</w:t>
            </w:r>
          </w:p>
        </w:tc>
        <w:tc>
          <w:tcPr>
            <w:tcW w:w="905" w:type="dxa"/>
            <w:tcBorders>
              <w:left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szCs w:val="21"/>
              </w:rPr>
            </w:pPr>
            <w:r>
              <w:rPr>
                <w:rFonts w:ascii="Times New Roman" w:hAnsi="Times New Roman" w:eastAsia="等线" w:cs="Times New Roman"/>
                <w:sz w:val="22"/>
              </w:rPr>
              <w:t xml:space="preserve">817.767 </w:t>
            </w:r>
          </w:p>
        </w:tc>
        <w:tc>
          <w:tcPr>
            <w:tcW w:w="905"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234.690 </w:t>
            </w:r>
          </w:p>
        </w:tc>
        <w:tc>
          <w:tcPr>
            <w:tcW w:w="905"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12.740 </w:t>
            </w:r>
          </w:p>
        </w:tc>
        <w:tc>
          <w:tcPr>
            <w:tcW w:w="1082"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0.686 </w:t>
            </w:r>
          </w:p>
        </w:tc>
        <w:tc>
          <w:tcPr>
            <w:tcW w:w="905" w:type="dxa"/>
            <w:tcBorders>
              <w:lef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44.400 </w:t>
            </w:r>
          </w:p>
        </w:tc>
        <w:tc>
          <w:tcPr>
            <w:tcW w:w="806" w:type="dxa"/>
            <w:tcBorders>
              <w:left w:val="single" w:color="auto" w:sz="4" w:space="0"/>
            </w:tcBorders>
            <w:vAlign w:val="center"/>
          </w:tcPr>
          <w:p>
            <w:pPr>
              <w:jc w:val="center"/>
              <w:rPr>
                <w:rFonts w:ascii="Times New Roman" w:hAnsi="Times New Roman"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285" w:hRule="atLeast"/>
          <w:jc w:val="center"/>
        </w:trPr>
        <w:tc>
          <w:tcPr>
            <w:tcW w:w="1064" w:type="dxa"/>
            <w:vMerge w:val="restart"/>
            <w:tcBorders>
              <w:right w:val="single" w:color="auto" w:sz="4" w:space="0"/>
            </w:tcBorders>
            <w:shd w:val="clear" w:color="auto" w:fill="auto"/>
            <w:vAlign w:val="center"/>
          </w:tcPr>
          <w:p>
            <w:pPr>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A/O</w:t>
            </w:r>
          </w:p>
        </w:tc>
        <w:tc>
          <w:tcPr>
            <w:tcW w:w="874" w:type="dxa"/>
            <w:vMerge w:val="restart"/>
            <w:tcBorders>
              <w:lef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等线" w:cs="Times New Roman"/>
                <w:szCs w:val="21"/>
              </w:rPr>
              <w:t>135.232</w:t>
            </w:r>
          </w:p>
        </w:tc>
        <w:tc>
          <w:tcPr>
            <w:tcW w:w="850" w:type="dxa"/>
            <w:tcBorders>
              <w:lef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进水</w:t>
            </w:r>
          </w:p>
        </w:tc>
        <w:tc>
          <w:tcPr>
            <w:tcW w:w="905" w:type="dxa"/>
            <w:tcBorders>
              <w:left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szCs w:val="21"/>
              </w:rPr>
            </w:pPr>
            <w:r>
              <w:rPr>
                <w:rFonts w:ascii="Times New Roman" w:hAnsi="Times New Roman" w:eastAsia="等线" w:cs="Times New Roman"/>
                <w:sz w:val="22"/>
              </w:rPr>
              <w:t xml:space="preserve">817.767 </w:t>
            </w:r>
          </w:p>
        </w:tc>
        <w:tc>
          <w:tcPr>
            <w:tcW w:w="905"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234.690 </w:t>
            </w:r>
          </w:p>
        </w:tc>
        <w:tc>
          <w:tcPr>
            <w:tcW w:w="905"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12.740 </w:t>
            </w:r>
          </w:p>
        </w:tc>
        <w:tc>
          <w:tcPr>
            <w:tcW w:w="1082"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0.686 </w:t>
            </w:r>
          </w:p>
        </w:tc>
        <w:tc>
          <w:tcPr>
            <w:tcW w:w="905" w:type="dxa"/>
            <w:tcBorders>
              <w:lef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44.400 </w:t>
            </w:r>
          </w:p>
        </w:tc>
        <w:tc>
          <w:tcPr>
            <w:tcW w:w="806" w:type="dxa"/>
            <w:tcBorders>
              <w:left w:val="single" w:color="auto" w:sz="4" w:space="0"/>
            </w:tcBorders>
            <w:vAlign w:val="center"/>
          </w:tcPr>
          <w:p>
            <w:pPr>
              <w:jc w:val="center"/>
              <w:rPr>
                <w:rFonts w:ascii="Times New Roman" w:hAnsi="Times New Roman"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285" w:hRule="atLeast"/>
          <w:jc w:val="center"/>
        </w:trPr>
        <w:tc>
          <w:tcPr>
            <w:tcW w:w="1064" w:type="dxa"/>
            <w:vMerge w:val="continue"/>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p>
        </w:tc>
        <w:tc>
          <w:tcPr>
            <w:tcW w:w="874" w:type="dxa"/>
            <w:vMerge w:val="continue"/>
            <w:tcBorders>
              <w:lef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p>
        </w:tc>
        <w:tc>
          <w:tcPr>
            <w:tcW w:w="850" w:type="dxa"/>
            <w:tcBorders>
              <w:lef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去除率</w:t>
            </w:r>
          </w:p>
        </w:tc>
        <w:tc>
          <w:tcPr>
            <w:tcW w:w="905"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等线" w:cs="Times New Roman"/>
                <w:sz w:val="22"/>
              </w:rPr>
              <w:t>85%</w:t>
            </w:r>
          </w:p>
        </w:tc>
        <w:tc>
          <w:tcPr>
            <w:tcW w:w="905"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等线" w:cs="Times New Roman"/>
                <w:sz w:val="22"/>
              </w:rPr>
              <w:t>88%</w:t>
            </w:r>
          </w:p>
        </w:tc>
        <w:tc>
          <w:tcPr>
            <w:tcW w:w="905"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等线" w:cs="Times New Roman"/>
                <w:sz w:val="22"/>
              </w:rPr>
              <w:t>50%</w:t>
            </w:r>
          </w:p>
        </w:tc>
        <w:tc>
          <w:tcPr>
            <w:tcW w:w="1082"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等线" w:cs="Times New Roman"/>
                <w:sz w:val="22"/>
              </w:rPr>
              <w:t>80%</w:t>
            </w:r>
          </w:p>
        </w:tc>
        <w:tc>
          <w:tcPr>
            <w:tcW w:w="905" w:type="dxa"/>
            <w:tcBorders>
              <w:lef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等线" w:cs="Times New Roman"/>
                <w:sz w:val="22"/>
              </w:rPr>
              <w:t>60%</w:t>
            </w:r>
          </w:p>
        </w:tc>
        <w:tc>
          <w:tcPr>
            <w:tcW w:w="806" w:type="dxa"/>
            <w:tcBorders>
              <w:lef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285" w:hRule="atLeast"/>
          <w:jc w:val="center"/>
        </w:trPr>
        <w:tc>
          <w:tcPr>
            <w:tcW w:w="1064" w:type="dxa"/>
            <w:vMerge w:val="continue"/>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p>
        </w:tc>
        <w:tc>
          <w:tcPr>
            <w:tcW w:w="874" w:type="dxa"/>
            <w:vMerge w:val="continue"/>
            <w:tcBorders>
              <w:lef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p>
        </w:tc>
        <w:tc>
          <w:tcPr>
            <w:tcW w:w="850" w:type="dxa"/>
            <w:tcBorders>
              <w:lef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出水</w:t>
            </w:r>
          </w:p>
        </w:tc>
        <w:tc>
          <w:tcPr>
            <w:tcW w:w="905" w:type="dxa"/>
            <w:tcBorders>
              <w:left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szCs w:val="21"/>
              </w:rPr>
            </w:pPr>
            <w:r>
              <w:rPr>
                <w:rFonts w:ascii="Times New Roman" w:hAnsi="Times New Roman" w:eastAsia="等线" w:cs="Times New Roman"/>
                <w:sz w:val="22"/>
              </w:rPr>
              <w:t xml:space="preserve">122.665 </w:t>
            </w:r>
          </w:p>
        </w:tc>
        <w:tc>
          <w:tcPr>
            <w:tcW w:w="905"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28.163 </w:t>
            </w:r>
          </w:p>
        </w:tc>
        <w:tc>
          <w:tcPr>
            <w:tcW w:w="905"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6.370 </w:t>
            </w:r>
          </w:p>
        </w:tc>
        <w:tc>
          <w:tcPr>
            <w:tcW w:w="1082"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0.137 </w:t>
            </w:r>
          </w:p>
        </w:tc>
        <w:tc>
          <w:tcPr>
            <w:tcW w:w="905" w:type="dxa"/>
            <w:tcBorders>
              <w:lef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17.760 </w:t>
            </w:r>
          </w:p>
        </w:tc>
        <w:tc>
          <w:tcPr>
            <w:tcW w:w="806" w:type="dxa"/>
            <w:tcBorders>
              <w:left w:val="single" w:color="auto" w:sz="4" w:space="0"/>
            </w:tcBorders>
            <w:vAlign w:val="center"/>
          </w:tcPr>
          <w:p>
            <w:pPr>
              <w:jc w:val="center"/>
              <w:rPr>
                <w:rFonts w:ascii="Times New Roman" w:hAnsi="Times New Roman"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285" w:hRule="atLeast"/>
          <w:jc w:val="center"/>
        </w:trPr>
        <w:tc>
          <w:tcPr>
            <w:tcW w:w="1064" w:type="dxa"/>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出水</w:t>
            </w:r>
          </w:p>
        </w:tc>
        <w:tc>
          <w:tcPr>
            <w:tcW w:w="874" w:type="dxa"/>
            <w:tcBorders>
              <w:lef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等线" w:cs="Times New Roman"/>
                <w:szCs w:val="21"/>
              </w:rPr>
              <w:t>135.232</w:t>
            </w:r>
          </w:p>
        </w:tc>
        <w:tc>
          <w:tcPr>
            <w:tcW w:w="850" w:type="dxa"/>
            <w:tcBorders>
              <w:lef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水质</w:t>
            </w:r>
          </w:p>
        </w:tc>
        <w:tc>
          <w:tcPr>
            <w:tcW w:w="905" w:type="dxa"/>
            <w:tcBorders>
              <w:left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szCs w:val="21"/>
              </w:rPr>
            </w:pPr>
            <w:r>
              <w:rPr>
                <w:rFonts w:ascii="Times New Roman" w:hAnsi="Times New Roman" w:eastAsia="等线" w:cs="Times New Roman"/>
                <w:sz w:val="22"/>
              </w:rPr>
              <w:t xml:space="preserve">122.665 </w:t>
            </w:r>
          </w:p>
        </w:tc>
        <w:tc>
          <w:tcPr>
            <w:tcW w:w="905"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28.163 </w:t>
            </w:r>
          </w:p>
        </w:tc>
        <w:tc>
          <w:tcPr>
            <w:tcW w:w="905"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6.370 </w:t>
            </w:r>
          </w:p>
        </w:tc>
        <w:tc>
          <w:tcPr>
            <w:tcW w:w="1082" w:type="dxa"/>
            <w:tcBorders>
              <w:left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0.137 </w:t>
            </w:r>
          </w:p>
        </w:tc>
        <w:tc>
          <w:tcPr>
            <w:tcW w:w="905" w:type="dxa"/>
            <w:tcBorders>
              <w:lef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 w:val="22"/>
              </w:rPr>
              <w:t xml:space="preserve">17.760 </w:t>
            </w:r>
          </w:p>
        </w:tc>
        <w:tc>
          <w:tcPr>
            <w:tcW w:w="806" w:type="dxa"/>
            <w:tcBorders>
              <w:left w:val="single" w:color="auto" w:sz="4" w:space="0"/>
            </w:tcBorders>
            <w:vAlign w:val="center"/>
          </w:tcPr>
          <w:p>
            <w:pPr>
              <w:jc w:val="center"/>
              <w:rPr>
                <w:rFonts w:ascii="Times New Roman" w:hAnsi="Times New Roman"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285" w:hRule="atLeast"/>
          <w:jc w:val="center"/>
        </w:trPr>
        <w:tc>
          <w:tcPr>
            <w:tcW w:w="1064" w:type="dxa"/>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排放标准</w:t>
            </w:r>
          </w:p>
        </w:tc>
        <w:tc>
          <w:tcPr>
            <w:tcW w:w="874" w:type="dxa"/>
            <w:tcBorders>
              <w:lef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w:t>
            </w:r>
          </w:p>
        </w:tc>
        <w:tc>
          <w:tcPr>
            <w:tcW w:w="850" w:type="dxa"/>
            <w:tcBorders>
              <w:lef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水质</w:t>
            </w:r>
          </w:p>
        </w:tc>
        <w:tc>
          <w:tcPr>
            <w:tcW w:w="905"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150</w:t>
            </w:r>
          </w:p>
        </w:tc>
        <w:tc>
          <w:tcPr>
            <w:tcW w:w="905"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30</w:t>
            </w:r>
          </w:p>
        </w:tc>
        <w:tc>
          <w:tcPr>
            <w:tcW w:w="905"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10</w:t>
            </w:r>
          </w:p>
        </w:tc>
        <w:tc>
          <w:tcPr>
            <w:tcW w:w="1082"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w:t>
            </w:r>
          </w:p>
        </w:tc>
        <w:tc>
          <w:tcPr>
            <w:tcW w:w="905" w:type="dxa"/>
            <w:tcBorders>
              <w:lef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25</w:t>
            </w:r>
          </w:p>
        </w:tc>
        <w:tc>
          <w:tcPr>
            <w:tcW w:w="806" w:type="dxa"/>
            <w:tcBorders>
              <w:lef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15" w:type="dxa"/>
            <w:bottom w:w="15" w:type="dxa"/>
            <w:right w:w="15" w:type="dxa"/>
          </w:tblCellMar>
        </w:tblPrEx>
        <w:trPr>
          <w:trHeight w:val="285" w:hRule="atLeast"/>
          <w:jc w:val="center"/>
        </w:trPr>
        <w:tc>
          <w:tcPr>
            <w:tcW w:w="1064" w:type="dxa"/>
            <w:tcBorders>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濮阳市第二污水处理厂进水水质要求</w:t>
            </w:r>
          </w:p>
        </w:tc>
        <w:tc>
          <w:tcPr>
            <w:tcW w:w="874" w:type="dxa"/>
            <w:tcBorders>
              <w:lef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w:t>
            </w:r>
          </w:p>
        </w:tc>
        <w:tc>
          <w:tcPr>
            <w:tcW w:w="850" w:type="dxa"/>
            <w:tcBorders>
              <w:lef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p>
        </w:tc>
        <w:tc>
          <w:tcPr>
            <w:tcW w:w="905"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350</w:t>
            </w:r>
          </w:p>
        </w:tc>
        <w:tc>
          <w:tcPr>
            <w:tcW w:w="905"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szCs w:val="21"/>
              </w:rPr>
              <w:t>/</w:t>
            </w:r>
          </w:p>
        </w:tc>
        <w:tc>
          <w:tcPr>
            <w:tcW w:w="905"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szCs w:val="21"/>
              </w:rPr>
              <w:t>/</w:t>
            </w:r>
          </w:p>
        </w:tc>
        <w:tc>
          <w:tcPr>
            <w:tcW w:w="1082" w:type="dxa"/>
            <w:tcBorders>
              <w:left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szCs w:val="21"/>
              </w:rPr>
              <w:t>/</w:t>
            </w:r>
          </w:p>
        </w:tc>
        <w:tc>
          <w:tcPr>
            <w:tcW w:w="905" w:type="dxa"/>
            <w:tcBorders>
              <w:left w:val="single" w:color="auto" w:sz="4" w:space="0"/>
            </w:tcBorders>
            <w:shd w:val="clear" w:color="auto" w:fill="auto"/>
            <w:vAlign w:val="center"/>
          </w:tcPr>
          <w:p>
            <w:pPr>
              <w:widowControl/>
              <w:spacing w:line="24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40</w:t>
            </w:r>
          </w:p>
        </w:tc>
        <w:tc>
          <w:tcPr>
            <w:tcW w:w="806" w:type="dxa"/>
            <w:tcBorders>
              <w:left w:val="single" w:color="auto" w:sz="4" w:space="0"/>
            </w:tcBorders>
            <w:vAlign w:val="center"/>
          </w:tcPr>
          <w:p>
            <w:pPr>
              <w:widowControl/>
              <w:spacing w:line="240" w:lineRule="exact"/>
              <w:jc w:val="center"/>
              <w:textAlignment w:val="center"/>
              <w:rPr>
                <w:rFonts w:ascii="Times New Roman" w:hAnsi="Times New Roman" w:eastAsia="宋体" w:cs="Times New Roman"/>
                <w:kern w:val="0"/>
                <w:szCs w:val="21"/>
              </w:rPr>
            </w:pPr>
          </w:p>
        </w:tc>
      </w:tr>
    </w:tbl>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由上表可知，处理后的</w:t>
      </w:r>
      <w:r>
        <w:rPr>
          <w:rFonts w:hint="eastAsia" w:ascii="Times New Roman" w:hAnsi="Times New Roman" w:eastAsia="宋体" w:cs="Times New Roman"/>
          <w:sz w:val="24"/>
          <w:szCs w:val="24"/>
        </w:rPr>
        <w:t>出水可</w:t>
      </w:r>
      <w:r>
        <w:rPr>
          <w:rFonts w:ascii="Times New Roman" w:hAnsi="Times New Roman" w:eastAsia="宋体" w:cs="Times New Roman"/>
          <w:sz w:val="24"/>
          <w:szCs w:val="24"/>
        </w:rPr>
        <w:t>达到</w:t>
      </w:r>
      <w:r>
        <w:rPr>
          <w:rFonts w:hint="eastAsia" w:ascii="Times New Roman" w:hAnsi="Times New Roman" w:eastAsia="宋体" w:cs="Times New Roman"/>
          <w:sz w:val="24"/>
          <w:szCs w:val="24"/>
        </w:rPr>
        <w:t>《污水综合排放标准》（GB8978-1996）表4二级</w:t>
      </w:r>
      <w:r>
        <w:rPr>
          <w:rFonts w:ascii="Times New Roman" w:hAnsi="Times New Roman" w:eastAsia="宋体" w:cs="Times New Roman"/>
          <w:sz w:val="24"/>
          <w:szCs w:val="24"/>
        </w:rPr>
        <w:t>标准及</w:t>
      </w:r>
      <w:r>
        <w:rPr>
          <w:rFonts w:hint="eastAsia" w:ascii="Times New Roman" w:hAnsi="Times New Roman" w:eastAsia="宋体" w:cs="Times New Roman"/>
          <w:sz w:val="24"/>
          <w:szCs w:val="24"/>
        </w:rPr>
        <w:t>濮阳市第二污水处理厂</w:t>
      </w:r>
      <w:r>
        <w:rPr>
          <w:rFonts w:ascii="Times New Roman" w:hAnsi="Times New Roman" w:eastAsia="宋体" w:cs="Times New Roman"/>
          <w:sz w:val="24"/>
          <w:szCs w:val="24"/>
        </w:rPr>
        <w:t>进水水质要求后，排入</w:t>
      </w:r>
      <w:r>
        <w:rPr>
          <w:rFonts w:hint="eastAsia" w:ascii="Times New Roman" w:hAnsi="Times New Roman" w:eastAsia="宋体" w:cs="Times New Roman"/>
          <w:sz w:val="24"/>
          <w:szCs w:val="24"/>
        </w:rPr>
        <w:t>顺河沟，最终排入马颊河</w:t>
      </w:r>
      <w:r>
        <w:rPr>
          <w:rFonts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变更后项目的建构筑物见表</w:t>
      </w:r>
      <w:r>
        <w:rPr>
          <w:rFonts w:ascii="Times New Roman" w:hAnsi="Times New Roman" w:eastAsia="宋体" w:cs="Times New Roman"/>
          <w:sz w:val="24"/>
          <w:szCs w:val="24"/>
        </w:rPr>
        <w:t>5</w:t>
      </w: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5</w:t>
      </w:r>
      <w:r>
        <w:rPr>
          <w:rFonts w:hint="eastAsia" w:ascii="Times New Roman" w:hAnsi="Times New Roman" w:eastAsia="宋体" w:cs="Times New Roman"/>
          <w:sz w:val="24"/>
          <w:szCs w:val="24"/>
        </w:rPr>
        <w:t>。</w:t>
      </w:r>
    </w:p>
    <w:p>
      <w:pPr>
        <w:spacing w:line="480" w:lineRule="exact"/>
        <w:ind w:firstLine="480" w:firstLineChars="200"/>
        <w:rPr>
          <w:rFonts w:ascii="Times New Roman" w:hAnsi="Times New Roman" w:eastAsia="黑体" w:cs="Times New Roman"/>
          <w:sz w:val="24"/>
        </w:rPr>
      </w:pPr>
      <w:r>
        <w:rPr>
          <w:rFonts w:hint="eastAsia" w:ascii="Times New Roman" w:hAnsi="Times New Roman" w:eastAsia="黑体" w:cs="Times New Roman"/>
          <w:sz w:val="24"/>
        </w:rPr>
        <w:t>表</w:t>
      </w:r>
      <w:r>
        <w:rPr>
          <w:rFonts w:ascii="Times New Roman" w:hAnsi="Times New Roman" w:eastAsia="黑体" w:cs="Times New Roman"/>
          <w:sz w:val="24"/>
        </w:rPr>
        <w:t>5</w:t>
      </w:r>
      <w:r>
        <w:rPr>
          <w:rFonts w:hint="eastAsia" w:ascii="Times New Roman" w:hAnsi="Times New Roman" w:eastAsia="黑体" w:cs="Times New Roman"/>
          <w:sz w:val="24"/>
        </w:rPr>
        <w:t>.</w:t>
      </w:r>
      <w:r>
        <w:rPr>
          <w:rFonts w:ascii="Times New Roman" w:hAnsi="Times New Roman" w:eastAsia="黑体" w:cs="Times New Roman"/>
          <w:sz w:val="24"/>
        </w:rPr>
        <w:t>2</w:t>
      </w:r>
      <w:r>
        <w:rPr>
          <w:rFonts w:hint="eastAsia" w:ascii="Times New Roman" w:hAnsi="Times New Roman" w:eastAsia="黑体" w:cs="Times New Roman"/>
          <w:sz w:val="24"/>
        </w:rPr>
        <w:t>-</w:t>
      </w:r>
      <w:r>
        <w:rPr>
          <w:rFonts w:ascii="Times New Roman" w:hAnsi="Times New Roman" w:eastAsia="黑体" w:cs="Times New Roman"/>
          <w:sz w:val="24"/>
        </w:rPr>
        <w:t>5</w:t>
      </w:r>
      <w:r>
        <w:rPr>
          <w:rFonts w:hint="eastAsia" w:ascii="Times New Roman" w:hAnsi="Times New Roman" w:eastAsia="黑体" w:cs="Times New Roman"/>
          <w:sz w:val="24"/>
        </w:rPr>
        <w:t xml:space="preserve">    变更后</w:t>
      </w:r>
      <w:r>
        <w:rPr>
          <w:rFonts w:ascii="Times New Roman" w:hAnsi="Times New Roman" w:eastAsia="黑体" w:cs="Times New Roman"/>
          <w:sz w:val="24"/>
        </w:rPr>
        <w:t>废水处理工程主要构（建）筑物一览表</w:t>
      </w:r>
    </w:p>
    <w:tbl>
      <w:tblPr>
        <w:tblStyle w:val="1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136"/>
        <w:gridCol w:w="2704"/>
        <w:gridCol w:w="898"/>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7" w:type="dxa"/>
            <w:tcMar>
              <w:left w:w="28" w:type="dxa"/>
              <w:right w:w="28" w:type="dxa"/>
            </w:tcMar>
            <w:vAlign w:val="center"/>
          </w:tcPr>
          <w:p>
            <w:pPr>
              <w:pStyle w:val="47"/>
            </w:pPr>
            <w:r>
              <w:t>序号</w:t>
            </w:r>
          </w:p>
        </w:tc>
        <w:tc>
          <w:tcPr>
            <w:tcW w:w="3136" w:type="dxa"/>
            <w:tcMar>
              <w:left w:w="28" w:type="dxa"/>
              <w:right w:w="28" w:type="dxa"/>
            </w:tcMar>
            <w:vAlign w:val="center"/>
          </w:tcPr>
          <w:p>
            <w:pPr>
              <w:pStyle w:val="47"/>
            </w:pPr>
            <w:r>
              <w:t>构（建）筑物名称</w:t>
            </w:r>
          </w:p>
        </w:tc>
        <w:tc>
          <w:tcPr>
            <w:tcW w:w="2704" w:type="dxa"/>
            <w:tcMar>
              <w:left w:w="28" w:type="dxa"/>
              <w:right w:w="28" w:type="dxa"/>
            </w:tcMar>
            <w:vAlign w:val="center"/>
          </w:tcPr>
          <w:p>
            <w:pPr>
              <w:pStyle w:val="47"/>
            </w:pPr>
            <w:r>
              <w:t>规   格</w:t>
            </w:r>
          </w:p>
        </w:tc>
        <w:tc>
          <w:tcPr>
            <w:tcW w:w="898" w:type="dxa"/>
            <w:tcMar>
              <w:left w:w="28" w:type="dxa"/>
              <w:right w:w="28" w:type="dxa"/>
            </w:tcMar>
            <w:vAlign w:val="center"/>
          </w:tcPr>
          <w:p>
            <w:pPr>
              <w:pStyle w:val="47"/>
            </w:pPr>
            <w:r>
              <w:t>单位</w:t>
            </w:r>
          </w:p>
        </w:tc>
        <w:tc>
          <w:tcPr>
            <w:tcW w:w="831" w:type="dxa"/>
            <w:tcMar>
              <w:left w:w="28" w:type="dxa"/>
              <w:right w:w="28" w:type="dxa"/>
            </w:tcMar>
            <w:vAlign w:val="center"/>
          </w:tcPr>
          <w:p>
            <w:pPr>
              <w:pStyle w:val="47"/>
            </w:pPr>
            <w: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8296" w:type="dxa"/>
            <w:gridSpan w:val="5"/>
            <w:tcMar>
              <w:left w:w="28" w:type="dxa"/>
              <w:right w:w="28" w:type="dxa"/>
            </w:tcMar>
            <w:vAlign w:val="center"/>
          </w:tcPr>
          <w:p>
            <w:pPr>
              <w:pStyle w:val="47"/>
              <w:jc w:val="both"/>
            </w:pPr>
            <w:r>
              <w:rPr>
                <w:rFonts w:hint="eastAsia"/>
              </w:rPr>
              <w:t>一、</w:t>
            </w:r>
            <w:r>
              <w:t>系统</w:t>
            </w:r>
            <w:r>
              <w:rPr>
                <w:rFonts w:hint="eastAsia"/>
              </w:rPr>
              <w:t>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27" w:type="dxa"/>
            <w:tcMar>
              <w:left w:w="28" w:type="dxa"/>
              <w:right w:w="28" w:type="dxa"/>
            </w:tcMar>
            <w:vAlign w:val="center"/>
          </w:tcPr>
          <w:p>
            <w:pPr>
              <w:pStyle w:val="47"/>
            </w:pPr>
            <w:r>
              <w:t>1</w:t>
            </w:r>
          </w:p>
        </w:tc>
        <w:tc>
          <w:tcPr>
            <w:tcW w:w="3136" w:type="dxa"/>
            <w:tcMar>
              <w:left w:w="28" w:type="dxa"/>
              <w:right w:w="28" w:type="dxa"/>
            </w:tcMar>
            <w:vAlign w:val="center"/>
          </w:tcPr>
          <w:p>
            <w:pPr>
              <w:pStyle w:val="47"/>
            </w:pPr>
            <w:r>
              <w:rPr>
                <w:rFonts w:hint="eastAsia"/>
              </w:rPr>
              <w:t>含油污水</w:t>
            </w:r>
            <w:r>
              <w:t>调节池</w:t>
            </w:r>
          </w:p>
        </w:tc>
        <w:tc>
          <w:tcPr>
            <w:tcW w:w="2704" w:type="dxa"/>
            <w:tcMar>
              <w:left w:w="28" w:type="dxa"/>
              <w:right w:w="28" w:type="dxa"/>
            </w:tcMar>
            <w:vAlign w:val="center"/>
          </w:tcPr>
          <w:p>
            <w:pPr>
              <w:pStyle w:val="47"/>
            </w:pPr>
            <w:r>
              <w:t>4.55×2.8×4.5m</w:t>
            </w:r>
          </w:p>
        </w:tc>
        <w:tc>
          <w:tcPr>
            <w:tcW w:w="898" w:type="dxa"/>
            <w:tcMar>
              <w:left w:w="28" w:type="dxa"/>
              <w:right w:w="28" w:type="dxa"/>
            </w:tcMar>
            <w:vAlign w:val="center"/>
          </w:tcPr>
          <w:p>
            <w:pPr>
              <w:pStyle w:val="47"/>
            </w:pPr>
            <w:r>
              <w:t>座</w:t>
            </w:r>
          </w:p>
        </w:tc>
        <w:tc>
          <w:tcPr>
            <w:tcW w:w="831" w:type="dxa"/>
            <w:tcMar>
              <w:left w:w="28" w:type="dxa"/>
              <w:right w:w="28" w:type="dxa"/>
            </w:tcMar>
            <w:vAlign w:val="center"/>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7" w:type="dxa"/>
            <w:tcMar>
              <w:left w:w="28" w:type="dxa"/>
              <w:right w:w="28" w:type="dxa"/>
            </w:tcMar>
            <w:vAlign w:val="center"/>
          </w:tcPr>
          <w:p>
            <w:pPr>
              <w:pStyle w:val="47"/>
            </w:pPr>
            <w:r>
              <w:t>2</w:t>
            </w:r>
          </w:p>
        </w:tc>
        <w:tc>
          <w:tcPr>
            <w:tcW w:w="3136" w:type="dxa"/>
            <w:tcMar>
              <w:left w:w="28" w:type="dxa"/>
              <w:right w:w="28" w:type="dxa"/>
            </w:tcMar>
            <w:vAlign w:val="center"/>
          </w:tcPr>
          <w:p>
            <w:pPr>
              <w:pStyle w:val="47"/>
            </w:pPr>
            <w:r>
              <w:rPr>
                <w:rFonts w:hint="eastAsia"/>
              </w:rPr>
              <w:t>综合</w:t>
            </w:r>
            <w:r>
              <w:t>调节池</w:t>
            </w:r>
          </w:p>
        </w:tc>
        <w:tc>
          <w:tcPr>
            <w:tcW w:w="2704" w:type="dxa"/>
            <w:tcMar>
              <w:left w:w="28" w:type="dxa"/>
              <w:right w:w="28" w:type="dxa"/>
            </w:tcMar>
            <w:vAlign w:val="center"/>
          </w:tcPr>
          <w:p>
            <w:pPr>
              <w:pStyle w:val="47"/>
            </w:pPr>
            <w:r>
              <w:t>4.55×2.8×4.5m</w:t>
            </w:r>
          </w:p>
        </w:tc>
        <w:tc>
          <w:tcPr>
            <w:tcW w:w="898" w:type="dxa"/>
            <w:tcMar>
              <w:left w:w="28" w:type="dxa"/>
              <w:right w:w="28" w:type="dxa"/>
            </w:tcMar>
            <w:vAlign w:val="center"/>
          </w:tcPr>
          <w:p>
            <w:pPr>
              <w:pStyle w:val="47"/>
            </w:pPr>
            <w:r>
              <w:t>座</w:t>
            </w:r>
          </w:p>
        </w:tc>
        <w:tc>
          <w:tcPr>
            <w:tcW w:w="831" w:type="dxa"/>
            <w:tcMar>
              <w:left w:w="28" w:type="dxa"/>
              <w:right w:w="28" w:type="dxa"/>
            </w:tcMar>
            <w:vAlign w:val="center"/>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7" w:type="dxa"/>
            <w:tcMar>
              <w:left w:w="28" w:type="dxa"/>
              <w:right w:w="28" w:type="dxa"/>
            </w:tcMar>
            <w:vAlign w:val="center"/>
          </w:tcPr>
          <w:p>
            <w:pPr>
              <w:pStyle w:val="47"/>
            </w:pPr>
            <w:r>
              <w:t>3</w:t>
            </w:r>
          </w:p>
        </w:tc>
        <w:tc>
          <w:tcPr>
            <w:tcW w:w="3136" w:type="dxa"/>
            <w:tcMar>
              <w:left w:w="28" w:type="dxa"/>
              <w:right w:w="28" w:type="dxa"/>
            </w:tcMar>
            <w:vAlign w:val="center"/>
          </w:tcPr>
          <w:p>
            <w:pPr>
              <w:pStyle w:val="47"/>
            </w:pPr>
            <w:r>
              <w:rPr>
                <w:rFonts w:hint="eastAsia"/>
              </w:rPr>
              <w:t>UASB基础</w:t>
            </w:r>
          </w:p>
        </w:tc>
        <w:tc>
          <w:tcPr>
            <w:tcW w:w="2704" w:type="dxa"/>
            <w:tcMar>
              <w:left w:w="28" w:type="dxa"/>
              <w:right w:w="28" w:type="dxa"/>
            </w:tcMar>
            <w:vAlign w:val="center"/>
          </w:tcPr>
          <w:p>
            <w:pPr>
              <w:pStyle w:val="47"/>
            </w:pPr>
            <w:r>
              <w:rPr>
                <w:rFonts w:hint="eastAsia"/>
              </w:rPr>
              <w:t>φ</w:t>
            </w:r>
            <w:r>
              <w:t>5.8×1.2m</w:t>
            </w:r>
          </w:p>
        </w:tc>
        <w:tc>
          <w:tcPr>
            <w:tcW w:w="898" w:type="dxa"/>
            <w:tcMar>
              <w:left w:w="28" w:type="dxa"/>
              <w:right w:w="28" w:type="dxa"/>
            </w:tcMar>
            <w:vAlign w:val="center"/>
          </w:tcPr>
          <w:p>
            <w:pPr>
              <w:pStyle w:val="47"/>
            </w:pPr>
            <w:r>
              <w:t>座</w:t>
            </w:r>
          </w:p>
        </w:tc>
        <w:tc>
          <w:tcPr>
            <w:tcW w:w="831" w:type="dxa"/>
            <w:tcMar>
              <w:left w:w="28" w:type="dxa"/>
              <w:right w:w="28" w:type="dxa"/>
            </w:tcMar>
            <w:vAlign w:val="center"/>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7" w:type="dxa"/>
            <w:tcMar>
              <w:left w:w="28" w:type="dxa"/>
              <w:right w:w="28" w:type="dxa"/>
            </w:tcMar>
            <w:vAlign w:val="center"/>
          </w:tcPr>
          <w:p>
            <w:pPr>
              <w:pStyle w:val="47"/>
            </w:pPr>
            <w:r>
              <w:t>4</w:t>
            </w:r>
          </w:p>
        </w:tc>
        <w:tc>
          <w:tcPr>
            <w:tcW w:w="3136" w:type="dxa"/>
            <w:tcMar>
              <w:left w:w="28" w:type="dxa"/>
              <w:right w:w="28" w:type="dxa"/>
            </w:tcMar>
            <w:vAlign w:val="center"/>
          </w:tcPr>
          <w:p>
            <w:pPr>
              <w:pStyle w:val="47"/>
            </w:pPr>
            <w:r>
              <w:rPr>
                <w:rFonts w:hint="eastAsia"/>
              </w:rPr>
              <w:t>A</w:t>
            </w:r>
            <w:r>
              <w:t>/O</w:t>
            </w:r>
            <w:r>
              <w:rPr>
                <w:rFonts w:hint="eastAsia"/>
              </w:rPr>
              <w:t>池</w:t>
            </w:r>
          </w:p>
        </w:tc>
        <w:tc>
          <w:tcPr>
            <w:tcW w:w="2704" w:type="dxa"/>
            <w:tcMar>
              <w:left w:w="28" w:type="dxa"/>
              <w:right w:w="28" w:type="dxa"/>
            </w:tcMar>
            <w:vAlign w:val="center"/>
          </w:tcPr>
          <w:p>
            <w:pPr>
              <w:pStyle w:val="47"/>
            </w:pPr>
            <w:r>
              <w:t>6.85×5.35×5.5m</w:t>
            </w:r>
          </w:p>
        </w:tc>
        <w:tc>
          <w:tcPr>
            <w:tcW w:w="898" w:type="dxa"/>
            <w:tcMar>
              <w:left w:w="28" w:type="dxa"/>
              <w:right w:w="28" w:type="dxa"/>
            </w:tcMar>
            <w:vAlign w:val="center"/>
          </w:tcPr>
          <w:p>
            <w:pPr>
              <w:pStyle w:val="47"/>
            </w:pPr>
            <w:r>
              <w:t>座</w:t>
            </w:r>
          </w:p>
        </w:tc>
        <w:tc>
          <w:tcPr>
            <w:tcW w:w="831" w:type="dxa"/>
            <w:tcMar>
              <w:left w:w="28" w:type="dxa"/>
              <w:right w:w="28" w:type="dxa"/>
            </w:tcMar>
            <w:vAlign w:val="center"/>
          </w:tcPr>
          <w:p>
            <w:pPr>
              <w:pStyle w:val="47"/>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7" w:type="dxa"/>
            <w:tcMar>
              <w:left w:w="28" w:type="dxa"/>
              <w:right w:w="28" w:type="dxa"/>
            </w:tcMar>
            <w:vAlign w:val="center"/>
          </w:tcPr>
          <w:p>
            <w:pPr>
              <w:pStyle w:val="47"/>
            </w:pPr>
            <w:r>
              <w:t>5</w:t>
            </w:r>
          </w:p>
        </w:tc>
        <w:tc>
          <w:tcPr>
            <w:tcW w:w="3136" w:type="dxa"/>
            <w:tcMar>
              <w:left w:w="28" w:type="dxa"/>
              <w:right w:w="28" w:type="dxa"/>
            </w:tcMar>
            <w:vAlign w:val="center"/>
          </w:tcPr>
          <w:p>
            <w:pPr>
              <w:pStyle w:val="47"/>
            </w:pPr>
            <w:r>
              <w:rPr>
                <w:rFonts w:hint="eastAsia"/>
              </w:rPr>
              <w:t>二沉池</w:t>
            </w:r>
          </w:p>
        </w:tc>
        <w:tc>
          <w:tcPr>
            <w:tcW w:w="2704" w:type="dxa"/>
            <w:tcMar>
              <w:left w:w="28" w:type="dxa"/>
              <w:right w:w="28" w:type="dxa"/>
            </w:tcMar>
            <w:vAlign w:val="center"/>
          </w:tcPr>
          <w:p>
            <w:pPr>
              <w:pStyle w:val="47"/>
            </w:pPr>
            <w:r>
              <w:t>3.8×1.25×5.5m</w:t>
            </w:r>
          </w:p>
        </w:tc>
        <w:tc>
          <w:tcPr>
            <w:tcW w:w="898" w:type="dxa"/>
            <w:tcMar>
              <w:left w:w="28" w:type="dxa"/>
              <w:right w:w="28" w:type="dxa"/>
            </w:tcMar>
            <w:vAlign w:val="center"/>
          </w:tcPr>
          <w:p>
            <w:pPr>
              <w:pStyle w:val="47"/>
            </w:pPr>
            <w:r>
              <w:t>座</w:t>
            </w:r>
          </w:p>
        </w:tc>
        <w:tc>
          <w:tcPr>
            <w:tcW w:w="831" w:type="dxa"/>
            <w:tcMar>
              <w:left w:w="28" w:type="dxa"/>
              <w:right w:w="28" w:type="dxa"/>
            </w:tcMar>
            <w:vAlign w:val="center"/>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7" w:type="dxa"/>
            <w:tcMar>
              <w:left w:w="28" w:type="dxa"/>
              <w:right w:w="28" w:type="dxa"/>
            </w:tcMar>
            <w:vAlign w:val="center"/>
          </w:tcPr>
          <w:p>
            <w:pPr>
              <w:pStyle w:val="47"/>
            </w:pPr>
            <w:r>
              <w:t>6</w:t>
            </w:r>
          </w:p>
        </w:tc>
        <w:tc>
          <w:tcPr>
            <w:tcW w:w="3136" w:type="dxa"/>
            <w:tcMar>
              <w:left w:w="28" w:type="dxa"/>
              <w:right w:w="28" w:type="dxa"/>
            </w:tcMar>
            <w:vAlign w:val="center"/>
          </w:tcPr>
          <w:p>
            <w:pPr>
              <w:pStyle w:val="47"/>
            </w:pPr>
            <w:r>
              <w:rPr>
                <w:rFonts w:hint="eastAsia"/>
              </w:rPr>
              <w:t>外排水池</w:t>
            </w:r>
          </w:p>
        </w:tc>
        <w:tc>
          <w:tcPr>
            <w:tcW w:w="2704" w:type="dxa"/>
            <w:tcMar>
              <w:left w:w="28" w:type="dxa"/>
              <w:right w:w="28" w:type="dxa"/>
            </w:tcMar>
            <w:vAlign w:val="center"/>
          </w:tcPr>
          <w:p>
            <w:pPr>
              <w:pStyle w:val="47"/>
            </w:pPr>
            <w:r>
              <w:t>3.6×1.25×5.5m</w:t>
            </w:r>
          </w:p>
        </w:tc>
        <w:tc>
          <w:tcPr>
            <w:tcW w:w="898" w:type="dxa"/>
            <w:tcMar>
              <w:left w:w="28" w:type="dxa"/>
              <w:right w:w="28" w:type="dxa"/>
            </w:tcMar>
            <w:vAlign w:val="center"/>
          </w:tcPr>
          <w:p>
            <w:pPr>
              <w:pStyle w:val="47"/>
            </w:pPr>
            <w:r>
              <w:t>座</w:t>
            </w:r>
          </w:p>
        </w:tc>
        <w:tc>
          <w:tcPr>
            <w:tcW w:w="831" w:type="dxa"/>
            <w:tcMar>
              <w:left w:w="28" w:type="dxa"/>
              <w:right w:w="28" w:type="dxa"/>
            </w:tcMar>
            <w:vAlign w:val="center"/>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7" w:type="dxa"/>
            <w:tcMar>
              <w:left w:w="28" w:type="dxa"/>
              <w:right w:w="28" w:type="dxa"/>
            </w:tcMar>
            <w:vAlign w:val="center"/>
          </w:tcPr>
          <w:p>
            <w:pPr>
              <w:pStyle w:val="47"/>
            </w:pPr>
            <w:r>
              <w:t>7</w:t>
            </w:r>
          </w:p>
        </w:tc>
        <w:tc>
          <w:tcPr>
            <w:tcW w:w="3136" w:type="dxa"/>
            <w:tcMar>
              <w:left w:w="28" w:type="dxa"/>
              <w:right w:w="28" w:type="dxa"/>
            </w:tcMar>
            <w:vAlign w:val="center"/>
          </w:tcPr>
          <w:p>
            <w:pPr>
              <w:pStyle w:val="47"/>
            </w:pPr>
            <w:r>
              <w:rPr>
                <w:rFonts w:hint="eastAsia"/>
              </w:rPr>
              <w:t>污泥贮池</w:t>
            </w:r>
          </w:p>
        </w:tc>
        <w:tc>
          <w:tcPr>
            <w:tcW w:w="2704" w:type="dxa"/>
            <w:tcMar>
              <w:left w:w="28" w:type="dxa"/>
              <w:right w:w="28" w:type="dxa"/>
            </w:tcMar>
            <w:vAlign w:val="center"/>
          </w:tcPr>
          <w:p>
            <w:pPr>
              <w:pStyle w:val="47"/>
            </w:pPr>
            <w:r>
              <w:t>2×1.5×2m</w:t>
            </w:r>
          </w:p>
        </w:tc>
        <w:tc>
          <w:tcPr>
            <w:tcW w:w="898" w:type="dxa"/>
            <w:tcMar>
              <w:left w:w="28" w:type="dxa"/>
              <w:right w:w="28" w:type="dxa"/>
            </w:tcMar>
            <w:vAlign w:val="center"/>
          </w:tcPr>
          <w:p>
            <w:pPr>
              <w:pStyle w:val="47"/>
            </w:pPr>
            <w:r>
              <w:t>座</w:t>
            </w:r>
          </w:p>
        </w:tc>
        <w:tc>
          <w:tcPr>
            <w:tcW w:w="831" w:type="dxa"/>
            <w:tcMar>
              <w:left w:w="28" w:type="dxa"/>
              <w:right w:w="28" w:type="dxa"/>
            </w:tcMar>
            <w:vAlign w:val="center"/>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7" w:type="dxa"/>
            <w:tcMar>
              <w:left w:w="28" w:type="dxa"/>
              <w:right w:w="28" w:type="dxa"/>
            </w:tcMar>
            <w:vAlign w:val="center"/>
          </w:tcPr>
          <w:p>
            <w:pPr>
              <w:pStyle w:val="47"/>
            </w:pPr>
            <w:r>
              <w:t>8</w:t>
            </w:r>
          </w:p>
        </w:tc>
        <w:tc>
          <w:tcPr>
            <w:tcW w:w="3136" w:type="dxa"/>
            <w:tcMar>
              <w:left w:w="28" w:type="dxa"/>
              <w:right w:w="28" w:type="dxa"/>
            </w:tcMar>
            <w:vAlign w:val="center"/>
          </w:tcPr>
          <w:p>
            <w:pPr>
              <w:pStyle w:val="47"/>
            </w:pPr>
            <w:r>
              <w:rPr>
                <w:rFonts w:hint="eastAsia"/>
              </w:rPr>
              <w:t>油泥贮池</w:t>
            </w:r>
          </w:p>
        </w:tc>
        <w:tc>
          <w:tcPr>
            <w:tcW w:w="2704" w:type="dxa"/>
            <w:tcMar>
              <w:left w:w="28" w:type="dxa"/>
              <w:right w:w="28" w:type="dxa"/>
            </w:tcMar>
            <w:vAlign w:val="center"/>
          </w:tcPr>
          <w:p>
            <w:pPr>
              <w:pStyle w:val="47"/>
            </w:pPr>
            <w:r>
              <w:t>2×1.5×2m</w:t>
            </w:r>
          </w:p>
        </w:tc>
        <w:tc>
          <w:tcPr>
            <w:tcW w:w="898" w:type="dxa"/>
            <w:tcMar>
              <w:left w:w="28" w:type="dxa"/>
              <w:right w:w="28" w:type="dxa"/>
            </w:tcMar>
            <w:vAlign w:val="center"/>
          </w:tcPr>
          <w:p>
            <w:pPr>
              <w:pStyle w:val="47"/>
            </w:pPr>
            <w:r>
              <w:t>座</w:t>
            </w:r>
          </w:p>
        </w:tc>
        <w:tc>
          <w:tcPr>
            <w:tcW w:w="831" w:type="dxa"/>
            <w:tcMar>
              <w:left w:w="28" w:type="dxa"/>
              <w:right w:w="28" w:type="dxa"/>
            </w:tcMar>
            <w:vAlign w:val="center"/>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7" w:type="dxa"/>
            <w:tcMar>
              <w:left w:w="28" w:type="dxa"/>
              <w:right w:w="28" w:type="dxa"/>
            </w:tcMar>
            <w:vAlign w:val="center"/>
          </w:tcPr>
          <w:p>
            <w:pPr>
              <w:pStyle w:val="47"/>
            </w:pPr>
            <w:r>
              <w:t>9</w:t>
            </w:r>
          </w:p>
        </w:tc>
        <w:tc>
          <w:tcPr>
            <w:tcW w:w="3136" w:type="dxa"/>
            <w:tcMar>
              <w:left w:w="28" w:type="dxa"/>
              <w:right w:w="28" w:type="dxa"/>
            </w:tcMar>
            <w:vAlign w:val="center"/>
          </w:tcPr>
          <w:p>
            <w:pPr>
              <w:pStyle w:val="47"/>
            </w:pPr>
            <w:r>
              <w:rPr>
                <w:rFonts w:hint="eastAsia"/>
              </w:rPr>
              <w:t>储油池</w:t>
            </w:r>
          </w:p>
        </w:tc>
        <w:tc>
          <w:tcPr>
            <w:tcW w:w="2704" w:type="dxa"/>
            <w:tcMar>
              <w:left w:w="28" w:type="dxa"/>
              <w:right w:w="28" w:type="dxa"/>
            </w:tcMar>
            <w:vAlign w:val="center"/>
          </w:tcPr>
          <w:p>
            <w:pPr>
              <w:pStyle w:val="47"/>
            </w:pPr>
            <w:r>
              <w:t>2×1.2×2m</w:t>
            </w:r>
          </w:p>
        </w:tc>
        <w:tc>
          <w:tcPr>
            <w:tcW w:w="898" w:type="dxa"/>
            <w:tcMar>
              <w:left w:w="28" w:type="dxa"/>
              <w:right w:w="28" w:type="dxa"/>
            </w:tcMar>
            <w:vAlign w:val="center"/>
          </w:tcPr>
          <w:p>
            <w:pPr>
              <w:pStyle w:val="47"/>
            </w:pPr>
            <w:r>
              <w:t>座</w:t>
            </w:r>
          </w:p>
        </w:tc>
        <w:tc>
          <w:tcPr>
            <w:tcW w:w="831" w:type="dxa"/>
            <w:tcMar>
              <w:left w:w="28" w:type="dxa"/>
              <w:right w:w="28" w:type="dxa"/>
            </w:tcMar>
            <w:vAlign w:val="center"/>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7" w:type="dxa"/>
            <w:tcMar>
              <w:left w:w="28" w:type="dxa"/>
              <w:right w:w="28" w:type="dxa"/>
            </w:tcMar>
            <w:vAlign w:val="center"/>
          </w:tcPr>
          <w:p>
            <w:pPr>
              <w:pStyle w:val="47"/>
            </w:pPr>
            <w:r>
              <w:t>10</w:t>
            </w:r>
          </w:p>
        </w:tc>
        <w:tc>
          <w:tcPr>
            <w:tcW w:w="3136" w:type="dxa"/>
            <w:tcMar>
              <w:left w:w="28" w:type="dxa"/>
              <w:right w:w="28" w:type="dxa"/>
            </w:tcMar>
            <w:vAlign w:val="center"/>
          </w:tcPr>
          <w:p>
            <w:pPr>
              <w:pStyle w:val="47"/>
            </w:pPr>
            <w:r>
              <w:rPr>
                <w:rFonts w:hint="eastAsia"/>
              </w:rPr>
              <w:t>废水收集池</w:t>
            </w:r>
          </w:p>
        </w:tc>
        <w:tc>
          <w:tcPr>
            <w:tcW w:w="2704" w:type="dxa"/>
            <w:tcMar>
              <w:left w:w="28" w:type="dxa"/>
              <w:right w:w="28" w:type="dxa"/>
            </w:tcMar>
            <w:vAlign w:val="center"/>
          </w:tcPr>
          <w:p>
            <w:pPr>
              <w:pStyle w:val="47"/>
            </w:pPr>
            <w:r>
              <w:t>2×1.5×2m</w:t>
            </w:r>
          </w:p>
        </w:tc>
        <w:tc>
          <w:tcPr>
            <w:tcW w:w="898" w:type="dxa"/>
            <w:tcMar>
              <w:left w:w="28" w:type="dxa"/>
              <w:right w:w="28" w:type="dxa"/>
            </w:tcMar>
            <w:vAlign w:val="center"/>
          </w:tcPr>
          <w:p>
            <w:pPr>
              <w:pStyle w:val="47"/>
            </w:pPr>
            <w:r>
              <w:t>座</w:t>
            </w:r>
          </w:p>
        </w:tc>
        <w:tc>
          <w:tcPr>
            <w:tcW w:w="831" w:type="dxa"/>
            <w:tcMar>
              <w:left w:w="28" w:type="dxa"/>
              <w:right w:w="28" w:type="dxa"/>
            </w:tcMar>
            <w:vAlign w:val="center"/>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7" w:type="dxa"/>
            <w:tcMar>
              <w:left w:w="28" w:type="dxa"/>
              <w:right w:w="28" w:type="dxa"/>
            </w:tcMar>
            <w:vAlign w:val="center"/>
          </w:tcPr>
          <w:p>
            <w:pPr>
              <w:pStyle w:val="47"/>
            </w:pPr>
            <w:r>
              <w:t>11</w:t>
            </w:r>
          </w:p>
        </w:tc>
        <w:tc>
          <w:tcPr>
            <w:tcW w:w="3136" w:type="dxa"/>
            <w:tcMar>
              <w:left w:w="28" w:type="dxa"/>
              <w:right w:w="28" w:type="dxa"/>
            </w:tcMar>
            <w:vAlign w:val="center"/>
          </w:tcPr>
          <w:p>
            <w:pPr>
              <w:pStyle w:val="47"/>
            </w:pPr>
            <w:r>
              <w:rPr>
                <w:rFonts w:hint="eastAsia"/>
              </w:rPr>
              <w:t>隔油池</w:t>
            </w:r>
          </w:p>
        </w:tc>
        <w:tc>
          <w:tcPr>
            <w:tcW w:w="2704" w:type="dxa"/>
            <w:tcMar>
              <w:left w:w="28" w:type="dxa"/>
              <w:right w:w="28" w:type="dxa"/>
            </w:tcMar>
            <w:vAlign w:val="center"/>
          </w:tcPr>
          <w:p>
            <w:pPr>
              <w:pStyle w:val="47"/>
            </w:pPr>
            <w:r>
              <w:t>4.55×1.2×1.83m</w:t>
            </w:r>
          </w:p>
        </w:tc>
        <w:tc>
          <w:tcPr>
            <w:tcW w:w="898" w:type="dxa"/>
            <w:tcMar>
              <w:left w:w="28" w:type="dxa"/>
              <w:right w:w="28" w:type="dxa"/>
            </w:tcMar>
            <w:vAlign w:val="center"/>
          </w:tcPr>
          <w:p>
            <w:pPr>
              <w:pStyle w:val="47"/>
            </w:pPr>
            <w:r>
              <w:t>座</w:t>
            </w:r>
          </w:p>
        </w:tc>
        <w:tc>
          <w:tcPr>
            <w:tcW w:w="831" w:type="dxa"/>
            <w:tcMar>
              <w:left w:w="28" w:type="dxa"/>
              <w:right w:w="28" w:type="dxa"/>
            </w:tcMar>
            <w:vAlign w:val="center"/>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7" w:type="dxa"/>
            <w:tcMar>
              <w:left w:w="28" w:type="dxa"/>
              <w:right w:w="28" w:type="dxa"/>
            </w:tcMar>
            <w:vAlign w:val="center"/>
          </w:tcPr>
          <w:p>
            <w:pPr>
              <w:pStyle w:val="47"/>
            </w:pPr>
            <w:r>
              <w:t>12</w:t>
            </w:r>
          </w:p>
        </w:tc>
        <w:tc>
          <w:tcPr>
            <w:tcW w:w="3136" w:type="dxa"/>
            <w:tcMar>
              <w:left w:w="28" w:type="dxa"/>
              <w:right w:w="28" w:type="dxa"/>
            </w:tcMar>
            <w:vAlign w:val="center"/>
          </w:tcPr>
          <w:p>
            <w:pPr>
              <w:pStyle w:val="47"/>
            </w:pPr>
            <w:r>
              <w:rPr>
                <w:rFonts w:hint="eastAsia"/>
              </w:rPr>
              <w:t>涡凹气浮池</w:t>
            </w:r>
          </w:p>
        </w:tc>
        <w:tc>
          <w:tcPr>
            <w:tcW w:w="2704" w:type="dxa"/>
            <w:tcMar>
              <w:left w:w="28" w:type="dxa"/>
              <w:right w:w="28" w:type="dxa"/>
            </w:tcMar>
            <w:vAlign w:val="center"/>
          </w:tcPr>
          <w:p>
            <w:pPr>
              <w:pStyle w:val="47"/>
            </w:pPr>
            <w:r>
              <w:t>4.65×1.23×1.83m</w:t>
            </w:r>
          </w:p>
        </w:tc>
        <w:tc>
          <w:tcPr>
            <w:tcW w:w="898" w:type="dxa"/>
            <w:tcMar>
              <w:left w:w="28" w:type="dxa"/>
              <w:right w:w="28" w:type="dxa"/>
            </w:tcMar>
            <w:vAlign w:val="center"/>
          </w:tcPr>
          <w:p>
            <w:pPr>
              <w:pStyle w:val="47"/>
            </w:pPr>
            <w:r>
              <w:t>座</w:t>
            </w:r>
          </w:p>
        </w:tc>
        <w:tc>
          <w:tcPr>
            <w:tcW w:w="831" w:type="dxa"/>
            <w:tcMar>
              <w:left w:w="28" w:type="dxa"/>
              <w:right w:w="28" w:type="dxa"/>
            </w:tcMar>
            <w:vAlign w:val="center"/>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7" w:type="dxa"/>
            <w:tcMar>
              <w:left w:w="28" w:type="dxa"/>
              <w:right w:w="28" w:type="dxa"/>
            </w:tcMar>
            <w:vAlign w:val="center"/>
          </w:tcPr>
          <w:p>
            <w:pPr>
              <w:pStyle w:val="47"/>
            </w:pPr>
            <w:r>
              <w:t>13</w:t>
            </w:r>
          </w:p>
        </w:tc>
        <w:tc>
          <w:tcPr>
            <w:tcW w:w="3136" w:type="dxa"/>
            <w:tcMar>
              <w:left w:w="28" w:type="dxa"/>
              <w:right w:w="28" w:type="dxa"/>
            </w:tcMar>
            <w:vAlign w:val="center"/>
          </w:tcPr>
          <w:p>
            <w:pPr>
              <w:pStyle w:val="47"/>
            </w:pPr>
            <w:r>
              <w:rPr>
                <w:rFonts w:hint="eastAsia"/>
              </w:rPr>
              <w:t>溶气泵气浮池</w:t>
            </w:r>
          </w:p>
        </w:tc>
        <w:tc>
          <w:tcPr>
            <w:tcW w:w="2704" w:type="dxa"/>
            <w:tcMar>
              <w:left w:w="28" w:type="dxa"/>
              <w:right w:w="28" w:type="dxa"/>
            </w:tcMar>
            <w:vAlign w:val="center"/>
          </w:tcPr>
          <w:p>
            <w:pPr>
              <w:pStyle w:val="47"/>
            </w:pPr>
            <w:r>
              <w:t>4.55×3.0×2.5m</w:t>
            </w:r>
          </w:p>
        </w:tc>
        <w:tc>
          <w:tcPr>
            <w:tcW w:w="898" w:type="dxa"/>
            <w:tcMar>
              <w:left w:w="28" w:type="dxa"/>
              <w:right w:w="28" w:type="dxa"/>
            </w:tcMar>
            <w:vAlign w:val="center"/>
          </w:tcPr>
          <w:p>
            <w:pPr>
              <w:pStyle w:val="47"/>
            </w:pPr>
            <w:r>
              <w:t>座</w:t>
            </w:r>
          </w:p>
        </w:tc>
        <w:tc>
          <w:tcPr>
            <w:tcW w:w="831" w:type="dxa"/>
            <w:tcMar>
              <w:left w:w="28" w:type="dxa"/>
              <w:right w:w="28" w:type="dxa"/>
            </w:tcMar>
            <w:vAlign w:val="center"/>
          </w:tcPr>
          <w:p>
            <w:pPr>
              <w:pStyle w:val="47"/>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296" w:type="dxa"/>
            <w:gridSpan w:val="5"/>
            <w:tcMar>
              <w:left w:w="28" w:type="dxa"/>
              <w:right w:w="28" w:type="dxa"/>
            </w:tcMar>
            <w:vAlign w:val="center"/>
          </w:tcPr>
          <w:p>
            <w:pPr>
              <w:pStyle w:val="47"/>
              <w:jc w:val="both"/>
            </w:pPr>
            <w:r>
              <w:rPr>
                <w:rFonts w:hint="eastAsia"/>
              </w:rPr>
              <w:t>二、</w:t>
            </w:r>
            <w:r>
              <w:t>建筑物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7" w:type="dxa"/>
            <w:tcMar>
              <w:left w:w="28" w:type="dxa"/>
              <w:right w:w="28" w:type="dxa"/>
            </w:tcMar>
            <w:vAlign w:val="center"/>
          </w:tcPr>
          <w:p>
            <w:pPr>
              <w:pStyle w:val="47"/>
            </w:pPr>
            <w:r>
              <w:rPr>
                <w:rFonts w:hint="eastAsia"/>
              </w:rPr>
              <w:t>1</w:t>
            </w:r>
          </w:p>
        </w:tc>
        <w:tc>
          <w:tcPr>
            <w:tcW w:w="3136" w:type="dxa"/>
            <w:tcMar>
              <w:left w:w="28" w:type="dxa"/>
              <w:right w:w="28" w:type="dxa"/>
            </w:tcMar>
            <w:vAlign w:val="center"/>
          </w:tcPr>
          <w:p>
            <w:pPr>
              <w:pStyle w:val="47"/>
            </w:pPr>
            <w:r>
              <w:rPr>
                <w:rFonts w:hint="eastAsia"/>
              </w:rPr>
              <w:t>配电间</w:t>
            </w:r>
          </w:p>
        </w:tc>
        <w:tc>
          <w:tcPr>
            <w:tcW w:w="2704" w:type="dxa"/>
            <w:tcMar>
              <w:left w:w="28" w:type="dxa"/>
              <w:right w:w="28" w:type="dxa"/>
            </w:tcMar>
            <w:vAlign w:val="center"/>
          </w:tcPr>
          <w:p>
            <w:pPr>
              <w:pStyle w:val="47"/>
            </w:pPr>
            <w:r>
              <w:rPr>
                <w:rFonts w:hint="eastAsia"/>
              </w:rPr>
              <w:t>6</w:t>
            </w:r>
            <w:r>
              <w:t>×5×4.5m</w:t>
            </w:r>
          </w:p>
        </w:tc>
        <w:tc>
          <w:tcPr>
            <w:tcW w:w="898" w:type="dxa"/>
            <w:tcMar>
              <w:left w:w="28" w:type="dxa"/>
              <w:right w:w="28" w:type="dxa"/>
            </w:tcMar>
            <w:vAlign w:val="center"/>
          </w:tcPr>
          <w:p>
            <w:pPr>
              <w:pStyle w:val="47"/>
            </w:pPr>
            <w:r>
              <w:t>座</w:t>
            </w:r>
          </w:p>
        </w:tc>
        <w:tc>
          <w:tcPr>
            <w:tcW w:w="831" w:type="dxa"/>
            <w:tcMar>
              <w:left w:w="28" w:type="dxa"/>
              <w:right w:w="28" w:type="dxa"/>
            </w:tcMar>
            <w:vAlign w:val="center"/>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7" w:type="dxa"/>
            <w:tcMar>
              <w:left w:w="28" w:type="dxa"/>
              <w:right w:w="28" w:type="dxa"/>
            </w:tcMar>
            <w:vAlign w:val="center"/>
          </w:tcPr>
          <w:p>
            <w:pPr>
              <w:pStyle w:val="47"/>
            </w:pPr>
            <w:r>
              <w:rPr>
                <w:rFonts w:hint="eastAsia"/>
              </w:rPr>
              <w:t>2</w:t>
            </w:r>
          </w:p>
        </w:tc>
        <w:tc>
          <w:tcPr>
            <w:tcW w:w="3136" w:type="dxa"/>
            <w:tcMar>
              <w:left w:w="28" w:type="dxa"/>
              <w:right w:w="28" w:type="dxa"/>
            </w:tcMar>
            <w:vAlign w:val="center"/>
          </w:tcPr>
          <w:p>
            <w:pPr>
              <w:pStyle w:val="47"/>
            </w:pPr>
            <w:r>
              <w:rPr>
                <w:rFonts w:hint="eastAsia"/>
              </w:rPr>
              <w:t>鼓风机房</w:t>
            </w:r>
          </w:p>
        </w:tc>
        <w:tc>
          <w:tcPr>
            <w:tcW w:w="2704" w:type="dxa"/>
            <w:tcMar>
              <w:left w:w="28" w:type="dxa"/>
              <w:right w:w="28" w:type="dxa"/>
            </w:tcMar>
            <w:vAlign w:val="center"/>
          </w:tcPr>
          <w:p>
            <w:pPr>
              <w:pStyle w:val="47"/>
            </w:pPr>
            <w:r>
              <w:rPr>
                <w:rFonts w:hint="eastAsia"/>
              </w:rPr>
              <w:t>6</w:t>
            </w:r>
            <w:r>
              <w:t>×3.2×4.5m</w:t>
            </w:r>
          </w:p>
        </w:tc>
        <w:tc>
          <w:tcPr>
            <w:tcW w:w="898" w:type="dxa"/>
            <w:tcMar>
              <w:left w:w="28" w:type="dxa"/>
              <w:right w:w="28" w:type="dxa"/>
            </w:tcMar>
            <w:vAlign w:val="center"/>
          </w:tcPr>
          <w:p>
            <w:pPr>
              <w:pStyle w:val="47"/>
            </w:pPr>
            <w:r>
              <w:t>座</w:t>
            </w:r>
          </w:p>
        </w:tc>
        <w:tc>
          <w:tcPr>
            <w:tcW w:w="831" w:type="dxa"/>
            <w:tcMar>
              <w:left w:w="28" w:type="dxa"/>
              <w:right w:w="28" w:type="dxa"/>
            </w:tcMar>
            <w:vAlign w:val="center"/>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7" w:type="dxa"/>
            <w:tcMar>
              <w:left w:w="28" w:type="dxa"/>
              <w:right w:w="28" w:type="dxa"/>
            </w:tcMar>
            <w:vAlign w:val="center"/>
          </w:tcPr>
          <w:p>
            <w:pPr>
              <w:pStyle w:val="47"/>
            </w:pPr>
            <w:r>
              <w:rPr>
                <w:rFonts w:hint="eastAsia"/>
              </w:rPr>
              <w:t>3</w:t>
            </w:r>
          </w:p>
        </w:tc>
        <w:tc>
          <w:tcPr>
            <w:tcW w:w="3136" w:type="dxa"/>
            <w:tcMar>
              <w:left w:w="28" w:type="dxa"/>
              <w:right w:w="28" w:type="dxa"/>
            </w:tcMar>
            <w:vAlign w:val="center"/>
          </w:tcPr>
          <w:p>
            <w:pPr>
              <w:pStyle w:val="47"/>
            </w:pPr>
            <w:r>
              <w:rPr>
                <w:rFonts w:hint="eastAsia"/>
              </w:rPr>
              <w:t>污泥间</w:t>
            </w:r>
          </w:p>
        </w:tc>
        <w:tc>
          <w:tcPr>
            <w:tcW w:w="2704" w:type="dxa"/>
            <w:tcMar>
              <w:left w:w="28" w:type="dxa"/>
              <w:right w:w="28" w:type="dxa"/>
            </w:tcMar>
            <w:vAlign w:val="center"/>
          </w:tcPr>
          <w:p>
            <w:pPr>
              <w:pStyle w:val="47"/>
            </w:pPr>
            <w:r>
              <w:t>8×6×4.5m</w:t>
            </w:r>
          </w:p>
        </w:tc>
        <w:tc>
          <w:tcPr>
            <w:tcW w:w="898" w:type="dxa"/>
            <w:tcMar>
              <w:left w:w="28" w:type="dxa"/>
              <w:right w:w="28" w:type="dxa"/>
            </w:tcMar>
            <w:vAlign w:val="center"/>
          </w:tcPr>
          <w:p>
            <w:pPr>
              <w:pStyle w:val="47"/>
            </w:pPr>
            <w:r>
              <w:t>座</w:t>
            </w:r>
          </w:p>
        </w:tc>
        <w:tc>
          <w:tcPr>
            <w:tcW w:w="831" w:type="dxa"/>
            <w:tcMar>
              <w:left w:w="28" w:type="dxa"/>
              <w:right w:w="28" w:type="dxa"/>
            </w:tcMar>
            <w:vAlign w:val="center"/>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7" w:type="dxa"/>
            <w:tcMar>
              <w:left w:w="28" w:type="dxa"/>
              <w:right w:w="28" w:type="dxa"/>
            </w:tcMar>
            <w:vAlign w:val="center"/>
          </w:tcPr>
          <w:p>
            <w:pPr>
              <w:pStyle w:val="47"/>
            </w:pPr>
            <w:r>
              <w:rPr>
                <w:rFonts w:hint="eastAsia"/>
              </w:rPr>
              <w:t>4</w:t>
            </w:r>
          </w:p>
        </w:tc>
        <w:tc>
          <w:tcPr>
            <w:tcW w:w="3136" w:type="dxa"/>
            <w:tcMar>
              <w:left w:w="28" w:type="dxa"/>
              <w:right w:w="28" w:type="dxa"/>
            </w:tcMar>
            <w:vAlign w:val="center"/>
          </w:tcPr>
          <w:p>
            <w:pPr>
              <w:pStyle w:val="47"/>
            </w:pPr>
            <w:r>
              <w:rPr>
                <w:rFonts w:hint="eastAsia"/>
              </w:rPr>
              <w:t>加药间及储药</w:t>
            </w:r>
            <w:r>
              <w:t>间</w:t>
            </w:r>
          </w:p>
        </w:tc>
        <w:tc>
          <w:tcPr>
            <w:tcW w:w="2704" w:type="dxa"/>
            <w:tcMar>
              <w:left w:w="28" w:type="dxa"/>
              <w:right w:w="28" w:type="dxa"/>
            </w:tcMar>
            <w:vAlign w:val="center"/>
          </w:tcPr>
          <w:p>
            <w:pPr>
              <w:pStyle w:val="47"/>
            </w:pPr>
            <w:r>
              <w:t>6×4.8×4.5m</w:t>
            </w:r>
          </w:p>
        </w:tc>
        <w:tc>
          <w:tcPr>
            <w:tcW w:w="898" w:type="dxa"/>
            <w:tcMar>
              <w:left w:w="28" w:type="dxa"/>
              <w:right w:w="28" w:type="dxa"/>
            </w:tcMar>
            <w:vAlign w:val="center"/>
          </w:tcPr>
          <w:p>
            <w:pPr>
              <w:pStyle w:val="47"/>
            </w:pPr>
            <w:r>
              <w:t>座</w:t>
            </w:r>
          </w:p>
        </w:tc>
        <w:tc>
          <w:tcPr>
            <w:tcW w:w="831" w:type="dxa"/>
            <w:tcMar>
              <w:left w:w="28" w:type="dxa"/>
              <w:right w:w="28" w:type="dxa"/>
            </w:tcMar>
            <w:vAlign w:val="center"/>
          </w:tcPr>
          <w:p>
            <w:pPr>
              <w:pStyle w:val="47"/>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7" w:type="dxa"/>
            <w:tcMar>
              <w:left w:w="28" w:type="dxa"/>
              <w:right w:w="28" w:type="dxa"/>
            </w:tcMar>
            <w:vAlign w:val="center"/>
          </w:tcPr>
          <w:p>
            <w:pPr>
              <w:pStyle w:val="47"/>
            </w:pPr>
            <w:r>
              <w:rPr>
                <w:rFonts w:hint="eastAsia"/>
              </w:rPr>
              <w:t>5</w:t>
            </w:r>
          </w:p>
        </w:tc>
        <w:tc>
          <w:tcPr>
            <w:tcW w:w="3136" w:type="dxa"/>
            <w:tcMar>
              <w:left w:w="28" w:type="dxa"/>
              <w:right w:w="28" w:type="dxa"/>
            </w:tcMar>
            <w:vAlign w:val="center"/>
          </w:tcPr>
          <w:p>
            <w:pPr>
              <w:pStyle w:val="47"/>
            </w:pPr>
            <w:r>
              <w:rPr>
                <w:rFonts w:hint="eastAsia"/>
              </w:rPr>
              <w:t>值班控制室</w:t>
            </w:r>
          </w:p>
        </w:tc>
        <w:tc>
          <w:tcPr>
            <w:tcW w:w="2704" w:type="dxa"/>
            <w:tcMar>
              <w:left w:w="28" w:type="dxa"/>
              <w:right w:w="28" w:type="dxa"/>
            </w:tcMar>
            <w:vAlign w:val="center"/>
          </w:tcPr>
          <w:p>
            <w:pPr>
              <w:pStyle w:val="47"/>
            </w:pPr>
            <w:r>
              <w:t>6×3×4.5m</w:t>
            </w:r>
          </w:p>
        </w:tc>
        <w:tc>
          <w:tcPr>
            <w:tcW w:w="898" w:type="dxa"/>
            <w:tcMar>
              <w:left w:w="28" w:type="dxa"/>
              <w:right w:w="28" w:type="dxa"/>
            </w:tcMar>
            <w:vAlign w:val="center"/>
          </w:tcPr>
          <w:p>
            <w:pPr>
              <w:pStyle w:val="47"/>
            </w:pPr>
            <w:r>
              <w:t>座</w:t>
            </w:r>
          </w:p>
        </w:tc>
        <w:tc>
          <w:tcPr>
            <w:tcW w:w="831" w:type="dxa"/>
            <w:tcMar>
              <w:left w:w="28" w:type="dxa"/>
              <w:right w:w="28" w:type="dxa"/>
            </w:tcMar>
            <w:vAlign w:val="center"/>
          </w:tcPr>
          <w:p>
            <w:pPr>
              <w:pStyle w:val="47"/>
            </w:pPr>
            <w:r>
              <w:rPr>
                <w:rFonts w:hint="eastAsia"/>
              </w:rPr>
              <w:t>1</w:t>
            </w:r>
          </w:p>
        </w:tc>
      </w:tr>
    </w:tbl>
    <w:p>
      <w:pPr>
        <w:spacing w:before="80" w:after="80" w:line="520" w:lineRule="exact"/>
        <w:outlineLvl w:val="2"/>
        <w:rPr>
          <w:rFonts w:eastAsia="楷体"/>
          <w:sz w:val="28"/>
        </w:rPr>
      </w:pPr>
      <w:bookmarkStart w:id="89" w:name="_Toc8391574"/>
      <w:bookmarkStart w:id="90" w:name="bookmark353"/>
      <w:bookmarkStart w:id="91" w:name="_Toc512973649"/>
      <w:r>
        <w:rPr>
          <w:rFonts w:ascii="Times New Roman" w:hAnsi="Times New Roman" w:eastAsia="楷体" w:cs="Times New Roman"/>
          <w:sz w:val="28"/>
          <w:szCs w:val="28"/>
        </w:rPr>
        <w:t>5.2.3</w:t>
      </w:r>
      <w:r>
        <w:rPr>
          <w:rFonts w:hint="eastAsia" w:eastAsia="楷体"/>
          <w:sz w:val="28"/>
        </w:rPr>
        <w:t>事故状态下废水治理措施</w:t>
      </w:r>
      <w:bookmarkEnd w:id="89"/>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为了防止物料泄漏污染地下水，本项目将设置截流、事故应急池和围堰。</w:t>
      </w:r>
    </w:p>
    <w:p>
      <w:pPr>
        <w:pStyle w:val="33"/>
        <w:rPr>
          <w:color w:val="auto"/>
        </w:rPr>
      </w:pPr>
      <w:r>
        <w:rPr>
          <w:color w:val="auto"/>
        </w:rPr>
        <w:t>5</w:t>
      </w:r>
      <w:r>
        <w:rPr>
          <w:rFonts w:hint="eastAsia"/>
          <w:color w:val="auto"/>
        </w:rPr>
        <w:t>.</w:t>
      </w:r>
      <w:r>
        <w:rPr>
          <w:color w:val="auto"/>
        </w:rPr>
        <w:t>2</w:t>
      </w:r>
      <w:r>
        <w:rPr>
          <w:rFonts w:hint="eastAsia"/>
          <w:color w:val="auto"/>
        </w:rPr>
        <w:t>.</w:t>
      </w:r>
      <w:r>
        <w:rPr>
          <w:color w:val="auto"/>
        </w:rPr>
        <w:t>3</w:t>
      </w:r>
      <w:r>
        <w:rPr>
          <w:rFonts w:hint="eastAsia"/>
          <w:color w:val="auto"/>
        </w:rPr>
        <w:t>.</w:t>
      </w:r>
      <w:r>
        <w:rPr>
          <w:color w:val="auto"/>
        </w:rPr>
        <w:t>1</w:t>
      </w:r>
      <w:r>
        <w:rPr>
          <w:rFonts w:hint="eastAsia"/>
          <w:color w:val="auto"/>
        </w:rPr>
        <w:t>截流设置</w:t>
      </w:r>
    </w:p>
    <w:p>
      <w:pPr>
        <w:spacing w:line="480" w:lineRule="exact"/>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变更后截流设置与原环评一致。</w:t>
      </w:r>
      <w:r>
        <w:rPr>
          <w:rFonts w:hint="eastAsia" w:ascii="Times New Roman" w:hAnsi="Times New Roman" w:eastAsia="宋体" w:cs="Times New Roman"/>
          <w:sz w:val="24"/>
          <w:szCs w:val="24"/>
        </w:rPr>
        <w:t>对生产车间、储罐区等环境风险单元，建设单位必须设置防腐、防淋溶、防流失措施，具体为：</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生产车间内设置环形事故沟，事故沟、车间地面以及围墙采用防腐、防渗涂层。事故沟通过专管连接至事故应急池。保证生产车间内事故生产废水、受污染消防废水能够通过事故沟排入事故应急池，不会进入雨水管网。</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）厂区内雨水管网系统设置排水切换阀。事故情况下，一旦发现有事故废水或事故消防废水流至车间外的厂区地面，立即切换雨水阀门，将雨水管网收集的废水引入应急事故池。</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）要做好日常管理及维护措施，有专人负责阀门切换，保证消防废水、事故废水排入应急事故池。</w:t>
      </w:r>
    </w:p>
    <w:p>
      <w:pPr>
        <w:pStyle w:val="33"/>
        <w:rPr>
          <w:color w:val="auto"/>
        </w:rPr>
      </w:pPr>
      <w:r>
        <w:rPr>
          <w:color w:val="auto"/>
        </w:rPr>
        <w:t>5</w:t>
      </w:r>
      <w:r>
        <w:rPr>
          <w:rFonts w:hint="eastAsia"/>
          <w:color w:val="auto"/>
        </w:rPr>
        <w:t>.</w:t>
      </w:r>
      <w:r>
        <w:rPr>
          <w:color w:val="auto"/>
        </w:rPr>
        <w:t>2</w:t>
      </w:r>
      <w:r>
        <w:rPr>
          <w:rFonts w:hint="eastAsia"/>
          <w:color w:val="auto"/>
        </w:rPr>
        <w:t>.</w:t>
      </w:r>
      <w:r>
        <w:rPr>
          <w:color w:val="auto"/>
        </w:rPr>
        <w:t>3</w:t>
      </w:r>
      <w:r>
        <w:rPr>
          <w:rFonts w:hint="eastAsia"/>
          <w:color w:val="auto"/>
        </w:rPr>
        <w:t>.</w:t>
      </w:r>
      <w:r>
        <w:rPr>
          <w:color w:val="auto"/>
        </w:rPr>
        <w:t>2</w:t>
      </w:r>
      <w:r>
        <w:rPr>
          <w:rFonts w:hint="eastAsia"/>
          <w:color w:val="auto"/>
        </w:rPr>
        <w:t>事故池</w:t>
      </w:r>
    </w:p>
    <w:p>
      <w:pPr>
        <w:spacing w:line="480" w:lineRule="exact"/>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变更后事故池的设置与原环评一致。</w:t>
      </w:r>
      <w:r>
        <w:rPr>
          <w:rFonts w:hint="eastAsia" w:ascii="Times New Roman" w:hAnsi="Times New Roman" w:eastAsia="宋体" w:cs="Times New Roman"/>
          <w:sz w:val="24"/>
          <w:szCs w:val="24"/>
        </w:rPr>
        <w:t>在液体物料发生泄漏并爆炸的情况下，将会产生大量的消防废水，由于与物料均有接触，废水中含有大量有害物质，不能直接排放。在该种情况下，此时开启导流沟，经管道泵将含物料的事故废水全部转移到2000m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事故水池中暂存，然后分批次进入厂内污水处理站，经处理后排入市政污水管网。本项目最大消防用水量为装置区，根据《石油化工企业防火设计规范》(GB50160-2008)第8.4.3条第一款规定，该项目火灾延续供水时间不应小于3h，其消防冷却水量按中型装置取150L/s，因此该项目一次灭火消防用水量最大为1620m</w:t>
      </w:r>
      <w:r>
        <w:rPr>
          <w:rFonts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w:t>
      </w:r>
    </w:p>
    <w:p>
      <w:pPr>
        <w:pStyle w:val="33"/>
        <w:rPr>
          <w:color w:val="auto"/>
        </w:rPr>
      </w:pPr>
      <w:r>
        <w:rPr>
          <w:color w:val="auto"/>
        </w:rPr>
        <w:t>5</w:t>
      </w:r>
      <w:r>
        <w:rPr>
          <w:rFonts w:hint="eastAsia"/>
          <w:color w:val="auto"/>
        </w:rPr>
        <w:t>.</w:t>
      </w:r>
      <w:r>
        <w:rPr>
          <w:color w:val="auto"/>
        </w:rPr>
        <w:t>2</w:t>
      </w:r>
      <w:r>
        <w:rPr>
          <w:rFonts w:hint="eastAsia"/>
          <w:color w:val="auto"/>
        </w:rPr>
        <w:t>.</w:t>
      </w:r>
      <w:r>
        <w:rPr>
          <w:color w:val="auto"/>
        </w:rPr>
        <w:t>3</w:t>
      </w:r>
      <w:r>
        <w:rPr>
          <w:rFonts w:hint="eastAsia"/>
          <w:color w:val="auto"/>
        </w:rPr>
        <w:t>.3初期雨水池</w:t>
      </w:r>
    </w:p>
    <w:p>
      <w:pPr>
        <w:widowControl/>
        <w:spacing w:line="480" w:lineRule="exact"/>
        <w:ind w:firstLine="482" w:firstLineChars="20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变更后在原料罐区</w:t>
      </w:r>
      <w:r>
        <w:rPr>
          <w:rFonts w:hint="eastAsia" w:ascii="Times New Roman" w:hAnsi="Times New Roman" w:eastAsia="宋体" w:cs="Times New Roman"/>
          <w:b/>
          <w:kern w:val="0"/>
          <w:sz w:val="24"/>
          <w:szCs w:val="24"/>
        </w:rPr>
        <w:t>南侧</w:t>
      </w:r>
      <w:r>
        <w:rPr>
          <w:rFonts w:ascii="Times New Roman" w:hAnsi="Times New Roman" w:eastAsia="宋体" w:cs="Times New Roman"/>
          <w:b/>
          <w:kern w:val="0"/>
          <w:sz w:val="24"/>
          <w:szCs w:val="24"/>
        </w:rPr>
        <w:t>新建一个200m</w:t>
      </w:r>
      <w:r>
        <w:rPr>
          <w:rFonts w:ascii="Times New Roman" w:hAnsi="Times New Roman" w:eastAsia="宋体" w:cs="Times New Roman"/>
          <w:b/>
          <w:kern w:val="0"/>
          <w:sz w:val="24"/>
          <w:szCs w:val="24"/>
          <w:vertAlign w:val="superscript"/>
        </w:rPr>
        <w:t>3</w:t>
      </w:r>
      <w:r>
        <w:rPr>
          <w:rFonts w:ascii="Times New Roman" w:hAnsi="Times New Roman" w:eastAsia="宋体" w:cs="Times New Roman"/>
          <w:b/>
          <w:kern w:val="0"/>
          <w:sz w:val="24"/>
          <w:szCs w:val="24"/>
        </w:rPr>
        <w:t>初期雨水池，用于收集原料罐区初期雨水，原环评中事故池用于收集除原料罐区以外的初期雨水。</w:t>
      </w:r>
    </w:p>
    <w:p>
      <w:pPr>
        <w:widowControl/>
        <w:spacing w:line="48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降雨时，厂区产生受污染的初期雨水，特别是前10min左右的雨水。根据当地暴雨强度计算公式</w:t>
      </w:r>
    </w:p>
    <w:p>
      <w:pPr>
        <w:widowControl/>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q=3680P</w:t>
      </w:r>
      <w:r>
        <w:rPr>
          <w:rFonts w:ascii="Times New Roman" w:hAnsi="Times New Roman" w:eastAsia="宋体" w:cs="Times New Roman"/>
          <w:sz w:val="24"/>
          <w:szCs w:val="24"/>
          <w:vertAlign w:val="subscript"/>
        </w:rPr>
        <w:t>0.4</w:t>
      </w:r>
      <w:r>
        <w:rPr>
          <w:rFonts w:ascii="Times New Roman" w:hAnsi="Times New Roman" w:eastAsia="宋体" w:cs="Times New Roman"/>
          <w:sz w:val="24"/>
          <w:szCs w:val="24"/>
        </w:rPr>
        <w:t>/(t+16.7)0.865</w:t>
      </w:r>
    </w:p>
    <w:p>
      <w:pPr>
        <w:widowControl/>
        <w:spacing w:line="48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式中，q-暴雨强度，升/（秒﹒公顷）；P-重现期，年；t-降雨历时，分钟。</w:t>
      </w:r>
    </w:p>
    <w:p>
      <w:pPr>
        <w:widowControl/>
        <w:spacing w:line="48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取P=2年，t=10min，则q=167升/（秒﹒公顷），结合原料罐区汇水面积约为0.425公顷，则原料罐区产生的初期雨水量约为42.59m</w:t>
      </w:r>
      <w:r>
        <w:rPr>
          <w:rFonts w:ascii="Times New Roman" w:hAnsi="Times New Roman" w:eastAsia="宋体" w:cs="Times New Roman"/>
          <w:kern w:val="0"/>
          <w:sz w:val="24"/>
          <w:szCs w:val="24"/>
          <w:vertAlign w:val="superscript"/>
        </w:rPr>
        <w:t>3</w:t>
      </w:r>
      <w:r>
        <w:rPr>
          <w:rFonts w:ascii="Times New Roman" w:hAnsi="Times New Roman" w:eastAsia="宋体" w:cs="Times New Roman"/>
          <w:kern w:val="0"/>
          <w:sz w:val="24"/>
          <w:szCs w:val="24"/>
        </w:rPr>
        <w:t>，变更后原料罐区初期雨水池</w:t>
      </w:r>
      <w:r>
        <w:rPr>
          <w:rFonts w:hint="eastAsia" w:ascii="Times New Roman" w:hAnsi="Times New Roman" w:eastAsia="宋体" w:cs="Times New Roman"/>
          <w:kern w:val="0"/>
          <w:sz w:val="24"/>
          <w:szCs w:val="24"/>
        </w:rPr>
        <w:t>池容</w:t>
      </w:r>
      <w:r>
        <w:rPr>
          <w:rFonts w:ascii="Times New Roman" w:hAnsi="Times New Roman" w:eastAsia="宋体" w:cs="Times New Roman"/>
          <w:kern w:val="0"/>
          <w:sz w:val="24"/>
          <w:szCs w:val="24"/>
        </w:rPr>
        <w:t>为200m</w:t>
      </w:r>
      <w:r>
        <w:rPr>
          <w:rFonts w:ascii="Times New Roman" w:hAnsi="Times New Roman" w:eastAsia="宋体" w:cs="Times New Roman"/>
          <w:kern w:val="0"/>
          <w:sz w:val="24"/>
          <w:szCs w:val="24"/>
          <w:vertAlign w:val="superscript"/>
        </w:rPr>
        <w:t>3</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可</w:t>
      </w:r>
      <w:r>
        <w:rPr>
          <w:rFonts w:ascii="Times New Roman" w:hAnsi="Times New Roman" w:eastAsia="宋体" w:cs="Times New Roman"/>
          <w:kern w:val="0"/>
          <w:sz w:val="24"/>
          <w:szCs w:val="24"/>
        </w:rPr>
        <w:t>满足初期雨水储存需求。</w:t>
      </w:r>
    </w:p>
    <w:p>
      <w:pPr>
        <w:pStyle w:val="24"/>
        <w:ind w:firstLine="480"/>
        <w:jc w:val="both"/>
        <w:rPr>
          <w:color w:val="auto"/>
        </w:rPr>
      </w:pPr>
      <w:r>
        <w:rPr>
          <w:color w:val="auto"/>
          <w:kern w:val="0"/>
        </w:rPr>
        <w:t>结合项目</w:t>
      </w:r>
      <w:r>
        <w:rPr>
          <w:color w:val="auto"/>
        </w:rPr>
        <w:t>生产区、储罐区、装卸区汇水面积约1.5公顷，则发生事故时全厂范围内产生的雨水量约250m</w:t>
      </w:r>
      <w:r>
        <w:rPr>
          <w:color w:val="auto"/>
          <w:vertAlign w:val="superscript"/>
        </w:rPr>
        <w:t>3</w:t>
      </w:r>
      <w:r>
        <w:rPr>
          <w:color w:val="auto"/>
        </w:rPr>
        <w:t>。因为该项目一次灭火消防用水量最大为1620m</w:t>
      </w:r>
      <w:r>
        <w:rPr>
          <w:color w:val="auto"/>
          <w:vertAlign w:val="superscript"/>
        </w:rPr>
        <w:t>3</w:t>
      </w:r>
      <w:r>
        <w:rPr>
          <w:color w:val="auto"/>
        </w:rPr>
        <w:t>。故本项目事故水池总容积为2000m</w:t>
      </w:r>
      <w:r>
        <w:rPr>
          <w:color w:val="auto"/>
          <w:vertAlign w:val="superscript"/>
        </w:rPr>
        <w:t>3</w:t>
      </w:r>
      <w:r>
        <w:rPr>
          <w:color w:val="auto"/>
        </w:rPr>
        <w:t>，可以保证消防水的储存。</w:t>
      </w:r>
    </w:p>
    <w:p>
      <w:pPr>
        <w:widowControl/>
        <w:spacing w:line="480" w:lineRule="exact"/>
        <w:ind w:firstLine="480" w:firstLineChars="200"/>
        <w:rPr>
          <w:rFonts w:ascii="Times New Roman" w:hAnsi="Times New Roman" w:eastAsia="宋体" w:cs="Times New Roman"/>
          <w:spacing w:val="-6"/>
          <w:sz w:val="24"/>
          <w:szCs w:val="24"/>
        </w:rPr>
      </w:pPr>
      <w:r>
        <w:rPr>
          <w:rFonts w:ascii="Times New Roman" w:hAnsi="Times New Roman" w:eastAsia="宋体" w:cs="Times New Roman"/>
          <w:sz w:val="24"/>
          <w:szCs w:val="24"/>
        </w:rPr>
        <w:t>发生暴雨时，雨水直接进入厂内污水管网会给污水站带来冲击负荷较大的影响。变更后项目原料罐区初期雨水进入原料罐区初期雨水池暂时储存，除原料罐区以外初期雨水进去项目的事故池暂时储存，恒定水量缓慢进入污水站处理。这样</w:t>
      </w:r>
      <w:r>
        <w:rPr>
          <w:rFonts w:ascii="Times New Roman" w:hAnsi="Times New Roman" w:eastAsia="宋体" w:cs="Times New Roman"/>
          <w:spacing w:val="-6"/>
          <w:sz w:val="24"/>
          <w:szCs w:val="24"/>
        </w:rPr>
        <w:t>保证在发生暴雨状态时项目雨水不会对污水处理站产生冲击，减轻事故对环境的影响。</w:t>
      </w:r>
    </w:p>
    <w:p>
      <w:pPr>
        <w:pStyle w:val="39"/>
        <w:rPr>
          <w:color w:val="auto"/>
        </w:rPr>
      </w:pPr>
      <w:bookmarkStart w:id="92" w:name="_Toc8391575"/>
      <w:r>
        <w:rPr>
          <w:color w:val="auto"/>
        </w:rPr>
        <w:t>5.3噪声污染防治措施</w:t>
      </w:r>
      <w:bookmarkEnd w:id="90"/>
      <w:bookmarkEnd w:id="91"/>
      <w:bookmarkEnd w:id="92"/>
    </w:p>
    <w:p>
      <w:pPr>
        <w:pStyle w:val="24"/>
        <w:ind w:firstLine="482"/>
        <w:jc w:val="both"/>
        <w:rPr>
          <w:b/>
          <w:color w:val="auto"/>
          <w:kern w:val="0"/>
        </w:rPr>
      </w:pPr>
      <w:r>
        <w:rPr>
          <w:rFonts w:hint="eastAsia"/>
          <w:b/>
          <w:color w:val="auto"/>
          <w:kern w:val="0"/>
        </w:rPr>
        <w:t>变更后噪声污染防治措施与原环评一致。</w:t>
      </w:r>
    </w:p>
    <w:p>
      <w:pPr>
        <w:pStyle w:val="24"/>
        <w:ind w:firstLine="480"/>
        <w:jc w:val="both"/>
        <w:rPr>
          <w:color w:val="auto"/>
          <w:kern w:val="0"/>
        </w:rPr>
      </w:pPr>
      <w:r>
        <w:rPr>
          <w:rFonts w:hint="eastAsia"/>
          <w:color w:val="auto"/>
          <w:kern w:val="0"/>
        </w:rPr>
        <w:t>针对该项目噪声排放特点，提出以下噪声防治措施：</w:t>
      </w:r>
    </w:p>
    <w:p>
      <w:pPr>
        <w:pStyle w:val="24"/>
        <w:ind w:firstLine="480"/>
        <w:jc w:val="both"/>
        <w:rPr>
          <w:color w:val="auto"/>
          <w:kern w:val="0"/>
        </w:rPr>
      </w:pPr>
      <w:r>
        <w:rPr>
          <w:rFonts w:hint="eastAsia"/>
          <w:color w:val="auto"/>
          <w:kern w:val="0"/>
        </w:rPr>
        <w:t>（1）设计防治对策</w:t>
      </w:r>
    </w:p>
    <w:p>
      <w:pPr>
        <w:pStyle w:val="24"/>
        <w:ind w:firstLine="480"/>
        <w:jc w:val="both"/>
        <w:rPr>
          <w:color w:val="auto"/>
          <w:kern w:val="0"/>
        </w:rPr>
      </w:pPr>
      <w:r>
        <w:rPr>
          <w:rFonts w:hint="eastAsia"/>
          <w:color w:val="auto"/>
          <w:kern w:val="0"/>
        </w:rPr>
        <w:t>本项目在建设布局上，采用“闹静分开”和“合理布局”的设计原则，使高噪声设备尽可能远离厂界。厂区噪声主要来源于各生产车间机械设备和动力设施、运输车辆产生的噪声。首先是尽量选用低噪声设备，其次采用消声、隔声、减震和个体防护等措施，具体措施如下：</w:t>
      </w:r>
    </w:p>
    <w:p>
      <w:pPr>
        <w:pStyle w:val="24"/>
        <w:ind w:firstLine="480"/>
        <w:jc w:val="both"/>
        <w:rPr>
          <w:color w:val="auto"/>
          <w:kern w:val="0"/>
        </w:rPr>
      </w:pPr>
      <w:r>
        <w:rPr>
          <w:rFonts w:hint="eastAsia"/>
          <w:color w:val="auto"/>
          <w:kern w:val="0"/>
        </w:rPr>
        <w:t>①对车辆噪声除了选用低噪声的废物运输车外，主要靠车辆的低速平稳行驶和少鸣喇叭等措施降噪。</w:t>
      </w:r>
    </w:p>
    <w:p>
      <w:pPr>
        <w:pStyle w:val="24"/>
        <w:ind w:firstLine="480"/>
        <w:jc w:val="both"/>
        <w:rPr>
          <w:color w:val="auto"/>
          <w:kern w:val="0"/>
        </w:rPr>
      </w:pPr>
      <w:r>
        <w:rPr>
          <w:rFonts w:hint="eastAsia"/>
          <w:color w:val="auto"/>
          <w:kern w:val="0"/>
        </w:rPr>
        <w:t>②在鼓风机、引风机进出口装设软管，在吸气口和排气口安装消声器。</w:t>
      </w:r>
    </w:p>
    <w:p>
      <w:pPr>
        <w:pStyle w:val="24"/>
        <w:ind w:firstLine="480"/>
        <w:jc w:val="both"/>
        <w:rPr>
          <w:color w:val="auto"/>
          <w:kern w:val="0"/>
        </w:rPr>
      </w:pPr>
      <w:r>
        <w:rPr>
          <w:rFonts w:hint="eastAsia"/>
          <w:color w:val="auto"/>
          <w:kern w:val="0"/>
        </w:rPr>
        <w:t>③空压机、离心机、鼓风机和水泵尽量安装在厂房内，室内墙壁安装吸声材料。</w:t>
      </w:r>
    </w:p>
    <w:p>
      <w:pPr>
        <w:pStyle w:val="24"/>
        <w:ind w:firstLine="480"/>
        <w:jc w:val="both"/>
        <w:rPr>
          <w:color w:val="auto"/>
          <w:kern w:val="0"/>
        </w:rPr>
      </w:pPr>
      <w:r>
        <w:rPr>
          <w:rFonts w:hint="eastAsia"/>
          <w:color w:val="auto"/>
          <w:kern w:val="0"/>
        </w:rPr>
        <w:t>④风机、水泵、离心机、空压机与基础之间安装减震设施。</w:t>
      </w:r>
    </w:p>
    <w:p>
      <w:pPr>
        <w:pStyle w:val="24"/>
        <w:ind w:firstLine="480"/>
        <w:jc w:val="both"/>
        <w:rPr>
          <w:color w:val="auto"/>
          <w:kern w:val="0"/>
        </w:rPr>
      </w:pPr>
      <w:r>
        <w:rPr>
          <w:rFonts w:hint="eastAsia"/>
          <w:color w:val="auto"/>
          <w:kern w:val="0"/>
        </w:rPr>
        <w:t>⑤管路系统噪声控制：合理设计和布置管线，设计管道时尽量选用较大管径以降低流速，减少管道拐弯、交叉和变径，管线支承架设要牢固，靠近振源的管线处设置波纹膨胀节或其它软接头，隔绝固体声传播，在管线穿过墙体时最好采用弹性连接；在管道外壁敷设阻尼隔声层。</w:t>
      </w:r>
    </w:p>
    <w:p>
      <w:pPr>
        <w:pStyle w:val="24"/>
        <w:ind w:firstLine="480"/>
        <w:jc w:val="both"/>
        <w:rPr>
          <w:color w:val="auto"/>
          <w:kern w:val="0"/>
        </w:rPr>
      </w:pPr>
      <w:r>
        <w:rPr>
          <w:rFonts w:hint="eastAsia"/>
          <w:color w:val="auto"/>
          <w:kern w:val="0"/>
        </w:rPr>
        <w:t xml:space="preserve">（2）技术防治措施 </w:t>
      </w:r>
    </w:p>
    <w:p>
      <w:pPr>
        <w:pStyle w:val="24"/>
        <w:ind w:firstLine="480"/>
        <w:jc w:val="both"/>
        <w:rPr>
          <w:color w:val="auto"/>
          <w:kern w:val="0"/>
        </w:rPr>
      </w:pPr>
      <w:r>
        <w:rPr>
          <w:rFonts w:hint="eastAsia"/>
          <w:color w:val="auto"/>
          <w:kern w:val="0"/>
        </w:rPr>
        <w:t>①设备购置时选用高效能低噪声设备；</w:t>
      </w:r>
    </w:p>
    <w:p>
      <w:pPr>
        <w:pStyle w:val="24"/>
        <w:ind w:firstLine="480"/>
        <w:jc w:val="both"/>
        <w:rPr>
          <w:color w:val="auto"/>
          <w:kern w:val="0"/>
        </w:rPr>
      </w:pPr>
      <w:r>
        <w:rPr>
          <w:rFonts w:hint="eastAsia"/>
          <w:color w:val="auto"/>
          <w:kern w:val="0"/>
        </w:rPr>
        <w:t xml:space="preserve">②采取声学控制措施，将高噪声设备置于车间内，同时对所有噪声设备采取基础减振措施； </w:t>
      </w:r>
    </w:p>
    <w:p>
      <w:pPr>
        <w:pStyle w:val="24"/>
        <w:ind w:firstLine="480"/>
        <w:jc w:val="both"/>
        <w:rPr>
          <w:color w:val="auto"/>
          <w:kern w:val="0"/>
        </w:rPr>
      </w:pPr>
      <w:r>
        <w:rPr>
          <w:rFonts w:hint="eastAsia"/>
          <w:color w:val="auto"/>
          <w:kern w:val="0"/>
        </w:rPr>
        <w:t>③设备运行中要注意管理，加强润滑，维持设备处于良好的运转状态，防止出现因设备运行不正常而产生刺耳噪声的情况；</w:t>
      </w:r>
    </w:p>
    <w:p>
      <w:pPr>
        <w:pStyle w:val="24"/>
        <w:ind w:firstLine="480"/>
        <w:jc w:val="both"/>
        <w:rPr>
          <w:color w:val="auto"/>
          <w:kern w:val="0"/>
        </w:rPr>
      </w:pPr>
      <w:r>
        <w:rPr>
          <w:rFonts w:hint="eastAsia"/>
          <w:color w:val="auto"/>
          <w:kern w:val="0"/>
        </w:rPr>
        <w:t>④加强厂区绿化。</w:t>
      </w:r>
    </w:p>
    <w:p>
      <w:pPr>
        <w:pStyle w:val="24"/>
        <w:ind w:firstLine="480"/>
        <w:jc w:val="both"/>
        <w:rPr>
          <w:color w:val="auto"/>
          <w:kern w:val="0"/>
        </w:rPr>
      </w:pPr>
      <w:r>
        <w:rPr>
          <w:rFonts w:hint="eastAsia"/>
          <w:color w:val="auto"/>
          <w:kern w:val="0"/>
        </w:rPr>
        <w:t>（3）噪声控制措施</w:t>
      </w:r>
    </w:p>
    <w:p>
      <w:pPr>
        <w:pStyle w:val="24"/>
        <w:ind w:firstLine="480"/>
        <w:jc w:val="both"/>
        <w:rPr>
          <w:color w:val="auto"/>
          <w:kern w:val="0"/>
        </w:rPr>
      </w:pPr>
      <w:r>
        <w:rPr>
          <w:rFonts w:hint="eastAsia"/>
          <w:color w:val="auto"/>
          <w:kern w:val="0"/>
        </w:rPr>
        <w:t>尽量采用低噪声设备，建筑采用隔音室、隔声窗等措施隔离噪声，并且在压缩机进、出口、蒸汽放空的排气口、通风系统等安装消声器；产生振动的设备，基础上加隔振元件；高噪声厂房内不设值班室，采用巡视检查管理方式。</w:t>
      </w:r>
    </w:p>
    <w:p>
      <w:pPr>
        <w:pStyle w:val="39"/>
        <w:rPr>
          <w:color w:val="auto"/>
        </w:rPr>
      </w:pPr>
      <w:bookmarkStart w:id="93" w:name="_Toc8391576"/>
      <w:bookmarkStart w:id="94" w:name="_Toc512973650"/>
      <w:bookmarkStart w:id="95" w:name="bookmark356"/>
      <w:r>
        <w:rPr>
          <w:color w:val="auto"/>
        </w:rPr>
        <w:t>5.4</w:t>
      </w:r>
      <w:r>
        <w:rPr>
          <w:rFonts w:hint="eastAsia"/>
          <w:color w:val="auto"/>
        </w:rPr>
        <w:t>固体废物污染防治</w:t>
      </w:r>
      <w:r>
        <w:rPr>
          <w:color w:val="auto"/>
        </w:rPr>
        <w:t>措施</w:t>
      </w:r>
      <w:bookmarkEnd w:id="93"/>
      <w:bookmarkEnd w:id="94"/>
      <w:bookmarkEnd w:id="95"/>
    </w:p>
    <w:p>
      <w:pPr>
        <w:spacing w:line="480" w:lineRule="exact"/>
        <w:ind w:firstLine="422" w:firstLineChars="200"/>
        <w:rPr>
          <w:rFonts w:ascii="Times New Roman" w:hAnsi="Times New Roman" w:eastAsia="宋体" w:cs="Times New Roman"/>
          <w:b/>
          <w:kern w:val="0"/>
          <w:szCs w:val="24"/>
        </w:rPr>
      </w:pPr>
      <w:r>
        <w:rPr>
          <w:rFonts w:hint="eastAsia" w:ascii="Times New Roman" w:hAnsi="Times New Roman" w:eastAsia="宋体" w:cs="Times New Roman"/>
          <w:b/>
          <w:kern w:val="0"/>
          <w:szCs w:val="24"/>
        </w:rPr>
        <w:t>变更后固体废物污染防治</w:t>
      </w:r>
      <w:r>
        <w:rPr>
          <w:rFonts w:ascii="Times New Roman" w:hAnsi="Times New Roman" w:eastAsia="宋体" w:cs="Times New Roman"/>
          <w:b/>
          <w:kern w:val="0"/>
          <w:szCs w:val="24"/>
        </w:rPr>
        <w:t>措施</w:t>
      </w:r>
      <w:r>
        <w:rPr>
          <w:rFonts w:hint="eastAsia" w:ascii="Times New Roman" w:hAnsi="Times New Roman" w:eastAsia="宋体" w:cs="Times New Roman"/>
          <w:b/>
          <w:kern w:val="0"/>
          <w:szCs w:val="24"/>
        </w:rPr>
        <w:t>与原环评一致。</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本项目固体废物主要有危险废物和生活垃圾。项目生活垃圾定期交于市政环卫部门清理。</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根据《国家危险废物名录》（2016版），本项目产生的污水处理站油泥、板框压滤器的废滤布和含油抹布、含油残渣和油气回收装置的废活性炭等均为危险废物。对于本项目产生的危险废物，建设单位拟建设</w:t>
      </w:r>
      <w:r>
        <w:rPr>
          <w:rFonts w:ascii="Times New Roman" w:hAnsi="Times New Roman" w:eastAsia="宋体" w:cs="Times New Roman"/>
          <w:sz w:val="24"/>
          <w:szCs w:val="24"/>
        </w:rPr>
        <w:t>1座200m</w:t>
      </w:r>
      <w:r>
        <w:rPr>
          <w:rFonts w:hint="eastAsia" w:ascii="Times New Roman" w:hAnsi="Times New Roman" w:eastAsia="宋体" w:cs="Times New Roman"/>
          <w:sz w:val="24"/>
          <w:szCs w:val="24"/>
          <w:vertAlign w:val="superscript"/>
        </w:rPr>
        <w:t>2</w:t>
      </w:r>
      <w:r>
        <w:rPr>
          <w:rFonts w:hint="eastAsia" w:ascii="Times New Roman" w:hAnsi="Times New Roman" w:eastAsia="宋体" w:cs="Times New Roman"/>
          <w:sz w:val="24"/>
          <w:szCs w:val="24"/>
        </w:rPr>
        <w:t>危险废物贮存间进行暂存，并按照危险废物的特性分类收集、贮存、处置，与非危险废物分开贮存，定期交给有资质单位集中处置。厂区内的危险废物临时贮存应按《危险废物贮存污染控制标准》（</w:t>
      </w:r>
      <w:r>
        <w:rPr>
          <w:rFonts w:ascii="Times New Roman" w:hAnsi="Times New Roman" w:eastAsia="宋体" w:cs="Times New Roman"/>
          <w:sz w:val="24"/>
          <w:szCs w:val="24"/>
        </w:rPr>
        <w:t>GB18597-2001）严格执行</w:t>
      </w:r>
      <w:r>
        <w:rPr>
          <w:rFonts w:hint="eastAsia" w:ascii="Times New Roman" w:hAnsi="Times New Roman" w:eastAsia="宋体" w:cs="Times New Roman"/>
          <w:sz w:val="24"/>
          <w:szCs w:val="24"/>
        </w:rPr>
        <w:t>。</w:t>
      </w:r>
    </w:p>
    <w:p>
      <w:pPr>
        <w:spacing w:before="80" w:after="80" w:line="520" w:lineRule="exact"/>
        <w:outlineLvl w:val="2"/>
        <w:rPr>
          <w:rFonts w:ascii="Times New Roman" w:hAnsi="Times New Roman" w:eastAsia="楷体" w:cs="Times New Roman"/>
          <w:sz w:val="28"/>
          <w:szCs w:val="28"/>
        </w:rPr>
      </w:pPr>
      <w:bookmarkStart w:id="96" w:name="_Toc512973651"/>
      <w:bookmarkStart w:id="97" w:name="_Toc8391577"/>
      <w:r>
        <w:rPr>
          <w:rFonts w:ascii="Times New Roman" w:hAnsi="Times New Roman" w:eastAsia="楷体" w:cs="Times New Roman"/>
          <w:sz w:val="28"/>
          <w:szCs w:val="28"/>
        </w:rPr>
        <w:t>5</w:t>
      </w:r>
      <w:r>
        <w:rPr>
          <w:rFonts w:hint="eastAsia" w:ascii="Times New Roman" w:hAnsi="Times New Roman" w:eastAsia="楷体" w:cs="Times New Roman"/>
          <w:sz w:val="28"/>
          <w:szCs w:val="28"/>
        </w:rPr>
        <w:t>.</w:t>
      </w:r>
      <w:r>
        <w:rPr>
          <w:rFonts w:ascii="Times New Roman" w:hAnsi="Times New Roman" w:eastAsia="楷体" w:cs="Times New Roman"/>
          <w:sz w:val="28"/>
          <w:szCs w:val="28"/>
        </w:rPr>
        <w:t>4</w:t>
      </w:r>
      <w:r>
        <w:rPr>
          <w:rFonts w:hint="eastAsia" w:ascii="Times New Roman" w:hAnsi="Times New Roman" w:eastAsia="楷体" w:cs="Times New Roman"/>
          <w:sz w:val="28"/>
          <w:szCs w:val="28"/>
        </w:rPr>
        <w:t>.1</w:t>
      </w:r>
      <w:r>
        <w:rPr>
          <w:rFonts w:ascii="Times New Roman" w:hAnsi="Times New Roman" w:eastAsia="楷体" w:cs="Times New Roman"/>
          <w:sz w:val="28"/>
          <w:szCs w:val="28"/>
        </w:rPr>
        <w:t>处理、处置方式</w:t>
      </w:r>
      <w:bookmarkEnd w:id="96"/>
      <w:bookmarkEnd w:id="97"/>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危险废物在厂内妥善临时存放后，定期委托河南天辰环保科技股份有限公司处置。本项目单独设立一座200m</w:t>
      </w:r>
      <w:r>
        <w:rPr>
          <w:rFonts w:hint="eastAsia" w:ascii="Times New Roman" w:hAnsi="Times New Roman" w:eastAsia="宋体" w:cs="Times New Roman"/>
          <w:sz w:val="24"/>
          <w:szCs w:val="24"/>
          <w:vertAlign w:val="superscript"/>
        </w:rPr>
        <w:t>2</w:t>
      </w:r>
      <w:r>
        <w:rPr>
          <w:rFonts w:hint="eastAsia" w:ascii="Times New Roman" w:hAnsi="Times New Roman" w:eastAsia="宋体" w:cs="Times New Roman"/>
          <w:sz w:val="24"/>
          <w:szCs w:val="24"/>
        </w:rPr>
        <w:t>危废暂存间，将废物分类分质分区暂存。危废暂存间</w:t>
      </w:r>
      <w:r>
        <w:rPr>
          <w:rFonts w:ascii="Times New Roman" w:hAnsi="Times New Roman" w:eastAsia="宋体" w:cs="Times New Roman"/>
          <w:sz w:val="24"/>
          <w:szCs w:val="24"/>
        </w:rPr>
        <w:t>门口贴有</w:t>
      </w:r>
      <w:r>
        <w:rPr>
          <w:rFonts w:hint="eastAsia" w:ascii="Times New Roman" w:hAnsi="Times New Roman" w:eastAsia="宋体" w:cs="Times New Roman"/>
          <w:sz w:val="24"/>
          <w:szCs w:val="24"/>
        </w:rPr>
        <w:t>危险废物</w:t>
      </w:r>
      <w:r>
        <w:rPr>
          <w:rFonts w:ascii="Times New Roman" w:hAnsi="Times New Roman" w:eastAsia="宋体" w:cs="Times New Roman"/>
          <w:sz w:val="24"/>
          <w:szCs w:val="24"/>
        </w:rPr>
        <w:t>警示标</w:t>
      </w:r>
      <w:r>
        <w:rPr>
          <w:rFonts w:hint="eastAsia" w:ascii="Times New Roman" w:hAnsi="Times New Roman" w:eastAsia="宋体" w:cs="Times New Roman"/>
          <w:sz w:val="24"/>
          <w:szCs w:val="24"/>
        </w:rPr>
        <w:t>识</w:t>
      </w:r>
      <w:r>
        <w:rPr>
          <w:rFonts w:ascii="Times New Roman" w:hAnsi="Times New Roman" w:eastAsia="宋体" w:cs="Times New Roman"/>
          <w:sz w:val="24"/>
          <w:szCs w:val="24"/>
        </w:rPr>
        <w:t>，</w:t>
      </w:r>
      <w:r>
        <w:rPr>
          <w:rFonts w:hint="eastAsia" w:ascii="Times New Roman" w:hAnsi="Times New Roman" w:eastAsia="宋体" w:cs="Times New Roman"/>
          <w:sz w:val="24"/>
          <w:szCs w:val="24"/>
        </w:rPr>
        <w:t>标有</w:t>
      </w:r>
      <w:r>
        <w:rPr>
          <w:rFonts w:ascii="Times New Roman" w:hAnsi="Times New Roman" w:eastAsia="宋体" w:cs="Times New Roman"/>
          <w:sz w:val="24"/>
          <w:szCs w:val="24"/>
        </w:rPr>
        <w:t>危险废物主要成分是</w:t>
      </w:r>
      <w:r>
        <w:rPr>
          <w:rFonts w:hint="eastAsia" w:ascii="Times New Roman" w:hAnsi="Times New Roman" w:eastAsia="宋体" w:cs="Times New Roman"/>
          <w:sz w:val="24"/>
          <w:szCs w:val="24"/>
        </w:rPr>
        <w:t>石油类等</w:t>
      </w:r>
      <w:r>
        <w:rPr>
          <w:rFonts w:ascii="Times New Roman" w:hAnsi="Times New Roman" w:eastAsia="宋体" w:cs="Times New Roman"/>
          <w:sz w:val="24"/>
          <w:szCs w:val="24"/>
        </w:rPr>
        <w:t>，</w:t>
      </w:r>
      <w:r>
        <w:rPr>
          <w:rFonts w:hint="eastAsia" w:ascii="Times New Roman" w:hAnsi="Times New Roman" w:eastAsia="宋体" w:cs="Times New Roman"/>
          <w:sz w:val="24"/>
          <w:szCs w:val="24"/>
        </w:rPr>
        <w:t>危险属性</w:t>
      </w:r>
      <w:r>
        <w:rPr>
          <w:rFonts w:ascii="Times New Roman" w:hAnsi="Times New Roman" w:eastAsia="宋体" w:cs="Times New Roman"/>
          <w:sz w:val="24"/>
          <w:szCs w:val="24"/>
        </w:rPr>
        <w:t>为有毒</w:t>
      </w:r>
      <w:r>
        <w:rPr>
          <w:rFonts w:hint="eastAsia" w:ascii="Times New Roman" w:hAnsi="Times New Roman" w:eastAsia="宋体" w:cs="Times New Roman"/>
          <w:sz w:val="24"/>
          <w:szCs w:val="24"/>
        </w:rPr>
        <w:t>，</w:t>
      </w:r>
      <w:r>
        <w:rPr>
          <w:rFonts w:ascii="Times New Roman" w:hAnsi="Times New Roman" w:eastAsia="宋体" w:cs="Times New Roman"/>
          <w:sz w:val="24"/>
          <w:szCs w:val="24"/>
        </w:rPr>
        <w:t>危废暂存间基本情况见表5</w:t>
      </w: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-1。</w:t>
      </w:r>
    </w:p>
    <w:p>
      <w:pPr>
        <w:spacing w:line="480" w:lineRule="exact"/>
        <w:ind w:firstLine="420" w:firstLineChars="200"/>
        <w:rPr>
          <w:rFonts w:ascii="Times New Roman" w:hAnsi="Times New Roman" w:eastAsia="黑体" w:cs="Times New Roman"/>
          <w:szCs w:val="24"/>
        </w:rPr>
      </w:pPr>
      <w:r>
        <w:rPr>
          <w:rFonts w:hint="eastAsia" w:ascii="Times New Roman" w:hAnsi="Times New Roman" w:eastAsia="黑体" w:cs="Times New Roman"/>
          <w:szCs w:val="24"/>
        </w:rPr>
        <w:t>表</w:t>
      </w:r>
      <w:r>
        <w:rPr>
          <w:rFonts w:ascii="Times New Roman" w:hAnsi="Times New Roman" w:eastAsia="黑体" w:cs="Times New Roman"/>
          <w:szCs w:val="24"/>
        </w:rPr>
        <w:t>5</w:t>
      </w:r>
      <w:r>
        <w:rPr>
          <w:rFonts w:hint="eastAsia" w:ascii="Times New Roman" w:hAnsi="Times New Roman" w:eastAsia="黑体" w:cs="Times New Roman"/>
          <w:szCs w:val="24"/>
        </w:rPr>
        <w:t>.</w:t>
      </w:r>
      <w:r>
        <w:rPr>
          <w:rFonts w:ascii="Times New Roman" w:hAnsi="Times New Roman" w:eastAsia="黑体" w:cs="Times New Roman"/>
          <w:szCs w:val="24"/>
        </w:rPr>
        <w:t>4</w:t>
      </w:r>
      <w:r>
        <w:rPr>
          <w:rFonts w:hint="eastAsia" w:ascii="Times New Roman" w:hAnsi="Times New Roman" w:eastAsia="黑体" w:cs="Times New Roman"/>
          <w:szCs w:val="24"/>
        </w:rPr>
        <w:t>-1</w:t>
      </w:r>
      <w:r>
        <w:rPr>
          <w:rFonts w:ascii="Times New Roman" w:hAnsi="Times New Roman" w:eastAsia="黑体" w:cs="Times New Roman"/>
          <w:szCs w:val="24"/>
        </w:rPr>
        <w:t xml:space="preserve">            </w:t>
      </w:r>
      <w:r>
        <w:rPr>
          <w:rFonts w:hint="eastAsia" w:ascii="Times New Roman" w:hAnsi="Times New Roman" w:eastAsia="黑体" w:cs="Times New Roman"/>
          <w:szCs w:val="24"/>
        </w:rPr>
        <w:t>危险废物</w:t>
      </w:r>
      <w:r>
        <w:rPr>
          <w:rFonts w:ascii="Times New Roman" w:hAnsi="Times New Roman" w:eastAsia="黑体" w:cs="Times New Roman"/>
          <w:szCs w:val="24"/>
        </w:rPr>
        <w:t>暂存间基本情况一览表</w:t>
      </w:r>
    </w:p>
    <w:tbl>
      <w:tblPr>
        <w:tblStyle w:val="19"/>
        <w:tblW w:w="8522" w:type="dxa"/>
        <w:jc w:val="center"/>
        <w:tblInd w:w="0" w:type="dxa"/>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2"/>
        <w:gridCol w:w="873"/>
        <w:gridCol w:w="1355"/>
        <w:gridCol w:w="803"/>
        <w:gridCol w:w="1219"/>
        <w:gridCol w:w="941"/>
        <w:gridCol w:w="765"/>
        <w:gridCol w:w="661"/>
        <w:gridCol w:w="870"/>
        <w:gridCol w:w="593"/>
      </w:tblGrid>
      <w:tr>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44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873"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贮存场所（设施）名称</w:t>
            </w:r>
          </w:p>
        </w:tc>
        <w:tc>
          <w:tcPr>
            <w:tcW w:w="135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危险废物名称</w:t>
            </w:r>
          </w:p>
        </w:tc>
        <w:tc>
          <w:tcPr>
            <w:tcW w:w="803"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危险废物类别</w:t>
            </w:r>
          </w:p>
        </w:tc>
        <w:tc>
          <w:tcPr>
            <w:tcW w:w="1219"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危险废物代码</w:t>
            </w:r>
          </w:p>
        </w:tc>
        <w:tc>
          <w:tcPr>
            <w:tcW w:w="941"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位置</w:t>
            </w:r>
          </w:p>
        </w:tc>
        <w:tc>
          <w:tcPr>
            <w:tcW w:w="76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占地面积</w:t>
            </w:r>
          </w:p>
        </w:tc>
        <w:tc>
          <w:tcPr>
            <w:tcW w:w="661"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贮存方式</w:t>
            </w:r>
          </w:p>
        </w:tc>
        <w:tc>
          <w:tcPr>
            <w:tcW w:w="870"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贮存能力</w:t>
            </w:r>
          </w:p>
        </w:tc>
        <w:tc>
          <w:tcPr>
            <w:tcW w:w="593"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贮存周期</w:t>
            </w:r>
          </w:p>
        </w:tc>
      </w:tr>
      <w:tr>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44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873"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危废暂存间</w:t>
            </w:r>
          </w:p>
        </w:tc>
        <w:tc>
          <w:tcPr>
            <w:tcW w:w="135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含油污泥</w:t>
            </w:r>
          </w:p>
        </w:tc>
        <w:tc>
          <w:tcPr>
            <w:tcW w:w="80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HW08</w:t>
            </w:r>
          </w:p>
        </w:tc>
        <w:tc>
          <w:tcPr>
            <w:tcW w:w="121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900-213-08</w:t>
            </w:r>
          </w:p>
        </w:tc>
        <w:tc>
          <w:tcPr>
            <w:tcW w:w="941"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厂区内</w:t>
            </w:r>
            <w:r>
              <w:rPr>
                <w:rFonts w:ascii="Times New Roman" w:hAnsi="Times New Roman" w:eastAsia="宋体" w:cs="Times New Roman"/>
                <w:szCs w:val="21"/>
              </w:rPr>
              <w:t>东侧</w:t>
            </w:r>
            <w:r>
              <w:rPr>
                <w:rFonts w:hint="eastAsia" w:ascii="Times New Roman" w:hAnsi="Times New Roman" w:eastAsia="宋体" w:cs="Times New Roman"/>
                <w:szCs w:val="21"/>
              </w:rPr>
              <w:t>偏南</w:t>
            </w:r>
            <w:r>
              <w:rPr>
                <w:rFonts w:ascii="Times New Roman" w:hAnsi="Times New Roman" w:eastAsia="宋体" w:cs="Times New Roman"/>
                <w:szCs w:val="21"/>
              </w:rPr>
              <w:t>部位</w:t>
            </w:r>
          </w:p>
        </w:tc>
        <w:tc>
          <w:tcPr>
            <w:tcW w:w="765"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20</w:t>
            </w:r>
            <w:r>
              <w:rPr>
                <w:rFonts w:hint="eastAsia" w:ascii="Times New Roman" w:hAnsi="Times New Roman" w:eastAsia="宋体" w:cs="Times New Roman"/>
                <w:szCs w:val="21"/>
              </w:rPr>
              <w:t>0</w:t>
            </w: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661"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桶装</w:t>
            </w:r>
          </w:p>
        </w:tc>
        <w:tc>
          <w:tcPr>
            <w:tcW w:w="870"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1000</w:t>
            </w:r>
            <w:r>
              <w:rPr>
                <w:rFonts w:ascii="Times New Roman" w:hAnsi="Times New Roman" w:eastAsia="宋体" w:cs="Times New Roman"/>
                <w:szCs w:val="21"/>
              </w:rPr>
              <w:t>m</w:t>
            </w:r>
            <w:r>
              <w:rPr>
                <w:rFonts w:ascii="Times New Roman" w:hAnsi="Times New Roman" w:eastAsia="宋体" w:cs="Times New Roman"/>
                <w:szCs w:val="21"/>
                <w:vertAlign w:val="superscript"/>
              </w:rPr>
              <w:t>3</w:t>
            </w:r>
          </w:p>
        </w:tc>
        <w:tc>
          <w:tcPr>
            <w:tcW w:w="593" w:type="dxa"/>
            <w:vMerge w:val="restart"/>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一周</w:t>
            </w:r>
          </w:p>
        </w:tc>
      </w:tr>
      <w:tr>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442"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873" w:type="dxa"/>
            <w:vMerge w:val="continue"/>
            <w:vAlign w:val="center"/>
          </w:tcPr>
          <w:p>
            <w:pPr>
              <w:spacing w:line="240" w:lineRule="exact"/>
              <w:jc w:val="center"/>
              <w:rPr>
                <w:rFonts w:ascii="Times New Roman" w:hAnsi="Times New Roman" w:eastAsia="宋体" w:cs="Times New Roman"/>
                <w:szCs w:val="21"/>
              </w:rPr>
            </w:pPr>
          </w:p>
        </w:tc>
        <w:tc>
          <w:tcPr>
            <w:tcW w:w="135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含油残渣</w:t>
            </w:r>
          </w:p>
        </w:tc>
        <w:tc>
          <w:tcPr>
            <w:tcW w:w="80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HW08</w:t>
            </w:r>
          </w:p>
        </w:tc>
        <w:tc>
          <w:tcPr>
            <w:tcW w:w="121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900-213-08</w:t>
            </w:r>
          </w:p>
        </w:tc>
        <w:tc>
          <w:tcPr>
            <w:tcW w:w="941" w:type="dxa"/>
            <w:vMerge w:val="continue"/>
            <w:vAlign w:val="center"/>
          </w:tcPr>
          <w:p>
            <w:pPr>
              <w:spacing w:line="240" w:lineRule="exact"/>
              <w:jc w:val="center"/>
              <w:rPr>
                <w:rFonts w:ascii="Times New Roman" w:hAnsi="Times New Roman" w:eastAsia="宋体" w:cs="Times New Roman"/>
                <w:szCs w:val="21"/>
              </w:rPr>
            </w:pPr>
          </w:p>
        </w:tc>
        <w:tc>
          <w:tcPr>
            <w:tcW w:w="765" w:type="dxa"/>
            <w:vMerge w:val="continue"/>
            <w:vAlign w:val="center"/>
          </w:tcPr>
          <w:p>
            <w:pPr>
              <w:spacing w:line="240" w:lineRule="exact"/>
              <w:jc w:val="center"/>
              <w:rPr>
                <w:rFonts w:ascii="Times New Roman" w:hAnsi="Times New Roman" w:eastAsia="宋体" w:cs="Times New Roman"/>
                <w:szCs w:val="21"/>
              </w:rPr>
            </w:pPr>
          </w:p>
        </w:tc>
        <w:tc>
          <w:tcPr>
            <w:tcW w:w="661" w:type="dxa"/>
            <w:vMerge w:val="continue"/>
            <w:vAlign w:val="center"/>
          </w:tcPr>
          <w:p>
            <w:pPr>
              <w:spacing w:line="240" w:lineRule="exact"/>
              <w:jc w:val="center"/>
              <w:rPr>
                <w:rFonts w:ascii="Times New Roman" w:hAnsi="Times New Roman" w:eastAsia="宋体" w:cs="Times New Roman"/>
                <w:szCs w:val="21"/>
              </w:rPr>
            </w:pPr>
          </w:p>
        </w:tc>
        <w:tc>
          <w:tcPr>
            <w:tcW w:w="870" w:type="dxa"/>
            <w:vMerge w:val="continue"/>
            <w:vAlign w:val="center"/>
          </w:tcPr>
          <w:p>
            <w:pPr>
              <w:spacing w:line="240" w:lineRule="exact"/>
              <w:jc w:val="center"/>
              <w:rPr>
                <w:rFonts w:ascii="Times New Roman" w:hAnsi="Times New Roman" w:eastAsia="宋体" w:cs="Times New Roman"/>
                <w:szCs w:val="21"/>
              </w:rPr>
            </w:pPr>
          </w:p>
        </w:tc>
        <w:tc>
          <w:tcPr>
            <w:tcW w:w="593"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4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w:t>
            </w:r>
          </w:p>
        </w:tc>
        <w:tc>
          <w:tcPr>
            <w:tcW w:w="873" w:type="dxa"/>
            <w:vMerge w:val="continue"/>
            <w:vAlign w:val="center"/>
          </w:tcPr>
          <w:p>
            <w:pPr>
              <w:spacing w:line="240" w:lineRule="exact"/>
              <w:jc w:val="center"/>
              <w:rPr>
                <w:rFonts w:ascii="Times New Roman" w:hAnsi="Times New Roman" w:eastAsia="宋体" w:cs="Times New Roman"/>
                <w:szCs w:val="21"/>
              </w:rPr>
            </w:pPr>
          </w:p>
        </w:tc>
        <w:tc>
          <w:tcPr>
            <w:tcW w:w="135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废滤布和含油抹布</w:t>
            </w:r>
          </w:p>
        </w:tc>
        <w:tc>
          <w:tcPr>
            <w:tcW w:w="80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HW08</w:t>
            </w:r>
          </w:p>
        </w:tc>
        <w:tc>
          <w:tcPr>
            <w:tcW w:w="121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900-213-08</w:t>
            </w:r>
          </w:p>
        </w:tc>
        <w:tc>
          <w:tcPr>
            <w:tcW w:w="941" w:type="dxa"/>
            <w:vMerge w:val="continue"/>
            <w:vAlign w:val="center"/>
          </w:tcPr>
          <w:p>
            <w:pPr>
              <w:spacing w:line="240" w:lineRule="exact"/>
              <w:jc w:val="center"/>
              <w:rPr>
                <w:rFonts w:ascii="Times New Roman" w:hAnsi="Times New Roman" w:eastAsia="宋体" w:cs="Times New Roman"/>
                <w:szCs w:val="21"/>
              </w:rPr>
            </w:pPr>
          </w:p>
        </w:tc>
        <w:tc>
          <w:tcPr>
            <w:tcW w:w="765" w:type="dxa"/>
            <w:vMerge w:val="continue"/>
            <w:vAlign w:val="center"/>
          </w:tcPr>
          <w:p>
            <w:pPr>
              <w:spacing w:line="240" w:lineRule="exact"/>
              <w:jc w:val="center"/>
              <w:rPr>
                <w:rFonts w:ascii="Times New Roman" w:hAnsi="Times New Roman" w:eastAsia="宋体" w:cs="Times New Roman"/>
                <w:szCs w:val="21"/>
              </w:rPr>
            </w:pPr>
          </w:p>
        </w:tc>
        <w:tc>
          <w:tcPr>
            <w:tcW w:w="661" w:type="dxa"/>
            <w:vMerge w:val="continue"/>
            <w:vAlign w:val="center"/>
          </w:tcPr>
          <w:p>
            <w:pPr>
              <w:spacing w:line="240" w:lineRule="exact"/>
              <w:jc w:val="center"/>
              <w:rPr>
                <w:rFonts w:ascii="Times New Roman" w:hAnsi="Times New Roman" w:eastAsia="宋体" w:cs="Times New Roman"/>
                <w:szCs w:val="21"/>
              </w:rPr>
            </w:pPr>
          </w:p>
        </w:tc>
        <w:tc>
          <w:tcPr>
            <w:tcW w:w="870" w:type="dxa"/>
            <w:vMerge w:val="continue"/>
            <w:vAlign w:val="center"/>
          </w:tcPr>
          <w:p>
            <w:pPr>
              <w:spacing w:line="240" w:lineRule="exact"/>
              <w:jc w:val="center"/>
              <w:rPr>
                <w:rFonts w:ascii="Times New Roman" w:hAnsi="Times New Roman" w:eastAsia="宋体" w:cs="Times New Roman"/>
                <w:szCs w:val="21"/>
              </w:rPr>
            </w:pPr>
          </w:p>
        </w:tc>
        <w:tc>
          <w:tcPr>
            <w:tcW w:w="593"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44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4</w:t>
            </w:r>
          </w:p>
        </w:tc>
        <w:tc>
          <w:tcPr>
            <w:tcW w:w="873" w:type="dxa"/>
            <w:vMerge w:val="continue"/>
            <w:vAlign w:val="center"/>
          </w:tcPr>
          <w:p>
            <w:pPr>
              <w:spacing w:line="240" w:lineRule="exact"/>
              <w:jc w:val="center"/>
              <w:rPr>
                <w:rFonts w:ascii="Times New Roman" w:hAnsi="Times New Roman" w:eastAsia="宋体" w:cs="Times New Roman"/>
                <w:szCs w:val="21"/>
              </w:rPr>
            </w:pPr>
          </w:p>
        </w:tc>
        <w:tc>
          <w:tcPr>
            <w:tcW w:w="1355"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废活性炭</w:t>
            </w:r>
          </w:p>
        </w:tc>
        <w:tc>
          <w:tcPr>
            <w:tcW w:w="803"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HW49</w:t>
            </w:r>
          </w:p>
        </w:tc>
        <w:tc>
          <w:tcPr>
            <w:tcW w:w="1219"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900-039-49</w:t>
            </w:r>
          </w:p>
        </w:tc>
        <w:tc>
          <w:tcPr>
            <w:tcW w:w="941" w:type="dxa"/>
            <w:vMerge w:val="continue"/>
            <w:vAlign w:val="center"/>
          </w:tcPr>
          <w:p>
            <w:pPr>
              <w:spacing w:line="240" w:lineRule="exact"/>
              <w:jc w:val="center"/>
              <w:rPr>
                <w:rFonts w:ascii="Times New Roman" w:hAnsi="Times New Roman" w:eastAsia="宋体" w:cs="Times New Roman"/>
                <w:szCs w:val="21"/>
              </w:rPr>
            </w:pPr>
          </w:p>
        </w:tc>
        <w:tc>
          <w:tcPr>
            <w:tcW w:w="765" w:type="dxa"/>
            <w:vMerge w:val="continue"/>
            <w:vAlign w:val="center"/>
          </w:tcPr>
          <w:p>
            <w:pPr>
              <w:spacing w:line="240" w:lineRule="exact"/>
              <w:jc w:val="center"/>
              <w:rPr>
                <w:rFonts w:ascii="Times New Roman" w:hAnsi="Times New Roman" w:eastAsia="宋体" w:cs="Times New Roman"/>
                <w:szCs w:val="21"/>
              </w:rPr>
            </w:pPr>
          </w:p>
        </w:tc>
        <w:tc>
          <w:tcPr>
            <w:tcW w:w="661" w:type="dxa"/>
            <w:vMerge w:val="continue"/>
            <w:vAlign w:val="center"/>
          </w:tcPr>
          <w:p>
            <w:pPr>
              <w:spacing w:line="240" w:lineRule="exact"/>
              <w:jc w:val="center"/>
              <w:rPr>
                <w:rFonts w:ascii="Times New Roman" w:hAnsi="Times New Roman" w:eastAsia="宋体" w:cs="Times New Roman"/>
                <w:szCs w:val="21"/>
              </w:rPr>
            </w:pPr>
          </w:p>
        </w:tc>
        <w:tc>
          <w:tcPr>
            <w:tcW w:w="870" w:type="dxa"/>
            <w:vMerge w:val="continue"/>
            <w:vAlign w:val="center"/>
          </w:tcPr>
          <w:p>
            <w:pPr>
              <w:spacing w:line="240" w:lineRule="exact"/>
              <w:jc w:val="center"/>
              <w:rPr>
                <w:rFonts w:ascii="Times New Roman" w:hAnsi="Times New Roman" w:eastAsia="宋体" w:cs="Times New Roman"/>
                <w:szCs w:val="21"/>
              </w:rPr>
            </w:pPr>
          </w:p>
        </w:tc>
        <w:tc>
          <w:tcPr>
            <w:tcW w:w="593" w:type="dxa"/>
            <w:vMerge w:val="continue"/>
            <w:vAlign w:val="center"/>
          </w:tcPr>
          <w:p>
            <w:pPr>
              <w:spacing w:line="240" w:lineRule="exact"/>
              <w:jc w:val="center"/>
              <w:rPr>
                <w:rFonts w:ascii="Times New Roman" w:hAnsi="Times New Roman" w:eastAsia="宋体" w:cs="Times New Roman"/>
                <w:szCs w:val="21"/>
              </w:rPr>
            </w:pPr>
          </w:p>
        </w:tc>
      </w:tr>
    </w:tbl>
    <w:p>
      <w:pPr>
        <w:spacing w:before="80" w:after="80" w:line="520" w:lineRule="exact"/>
        <w:outlineLvl w:val="2"/>
        <w:rPr>
          <w:rFonts w:ascii="Times New Roman" w:hAnsi="Times New Roman" w:eastAsia="楷体" w:cs="Times New Roman"/>
          <w:sz w:val="28"/>
          <w:szCs w:val="28"/>
        </w:rPr>
      </w:pPr>
      <w:bookmarkStart w:id="98" w:name="_Toc8391578"/>
      <w:bookmarkStart w:id="99" w:name="_Toc512973652"/>
      <w:r>
        <w:rPr>
          <w:rFonts w:ascii="Times New Roman" w:hAnsi="Times New Roman" w:eastAsia="楷体" w:cs="Times New Roman"/>
          <w:sz w:val="28"/>
          <w:szCs w:val="28"/>
        </w:rPr>
        <w:t>5</w:t>
      </w:r>
      <w:r>
        <w:rPr>
          <w:rFonts w:hint="eastAsia" w:ascii="Times New Roman" w:hAnsi="Times New Roman" w:eastAsia="楷体" w:cs="Times New Roman"/>
          <w:sz w:val="28"/>
          <w:szCs w:val="28"/>
        </w:rPr>
        <w:t>.</w:t>
      </w:r>
      <w:r>
        <w:rPr>
          <w:rFonts w:ascii="Times New Roman" w:hAnsi="Times New Roman" w:eastAsia="楷体" w:cs="Times New Roman"/>
          <w:sz w:val="28"/>
          <w:szCs w:val="28"/>
        </w:rPr>
        <w:t>4</w:t>
      </w:r>
      <w:r>
        <w:rPr>
          <w:rFonts w:hint="eastAsia" w:ascii="Times New Roman" w:hAnsi="Times New Roman" w:eastAsia="楷体" w:cs="Times New Roman"/>
          <w:sz w:val="28"/>
          <w:szCs w:val="28"/>
        </w:rPr>
        <w:t>.2</w:t>
      </w:r>
      <w:r>
        <w:rPr>
          <w:rFonts w:ascii="Times New Roman" w:hAnsi="Times New Roman" w:eastAsia="楷体" w:cs="Times New Roman"/>
          <w:sz w:val="28"/>
          <w:szCs w:val="28"/>
        </w:rPr>
        <w:t>危险废物贮存间的环保及管理要求</w:t>
      </w:r>
      <w:bookmarkEnd w:id="98"/>
      <w:bookmarkEnd w:id="99"/>
    </w:p>
    <w:p>
      <w:pPr>
        <w:pStyle w:val="33"/>
        <w:rPr>
          <w:color w:val="auto"/>
        </w:rPr>
      </w:pPr>
      <w:r>
        <w:rPr>
          <w:rFonts w:hint="eastAsia"/>
          <w:color w:val="auto"/>
        </w:rPr>
        <w:t>5</w:t>
      </w:r>
      <w:r>
        <w:rPr>
          <w:color w:val="auto"/>
        </w:rPr>
        <w:t>.4.2.1</w:t>
      </w:r>
      <w:r>
        <w:rPr>
          <w:rFonts w:hint="eastAsia"/>
          <w:color w:val="auto"/>
        </w:rPr>
        <w:t>危废暂存间的环保要求：</w:t>
      </w:r>
    </w:p>
    <w:p>
      <w:pPr>
        <w:widowControl/>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设计、施工等严格按照《危险废物贮存污染控制标准》（GB18597-2001）中相关要求及规定进行；</w:t>
      </w:r>
    </w:p>
    <w:p>
      <w:pPr>
        <w:widowControl/>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建设堵截泄露的裙脚，地面与裙脚用坚固、防渗的材料建造，建筑材料与危险废物相容；</w:t>
      </w:r>
    </w:p>
    <w:p>
      <w:pPr>
        <w:widowControl/>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暂存间具备防风、防雨、防晒及防渗漏等“四防”功能，且地面为耐腐蚀的硬化地面，表面无裂隙；</w:t>
      </w:r>
    </w:p>
    <w:p>
      <w:pPr>
        <w:widowControl/>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暂存间基础防渗，防渗层为至少1m厚粘土层（渗透系数≤10</w:t>
      </w:r>
      <w:r>
        <w:rPr>
          <w:rFonts w:ascii="Times New Roman" w:hAnsi="Times New Roman" w:eastAsia="宋体" w:cs="Times New Roman"/>
          <w:sz w:val="24"/>
          <w:szCs w:val="24"/>
          <w:vertAlign w:val="superscript"/>
        </w:rPr>
        <w:t>-7</w:t>
      </w:r>
      <w:r>
        <w:rPr>
          <w:rFonts w:ascii="Times New Roman" w:hAnsi="Times New Roman" w:eastAsia="宋体" w:cs="Times New Roman"/>
          <w:sz w:val="24"/>
          <w:szCs w:val="24"/>
        </w:rPr>
        <w:t>cm/s）；或2mm厚高密度聚乙烯，或至少2mm厚的其它人工材料，渗透系数≤10</w:t>
      </w:r>
      <w:r>
        <w:rPr>
          <w:rFonts w:ascii="Times New Roman" w:hAnsi="Times New Roman" w:eastAsia="宋体" w:cs="Times New Roman"/>
          <w:sz w:val="24"/>
          <w:szCs w:val="24"/>
          <w:vertAlign w:val="superscript"/>
        </w:rPr>
        <w:t>-10</w:t>
      </w:r>
      <w:r>
        <w:rPr>
          <w:rFonts w:ascii="Times New Roman" w:hAnsi="Times New Roman" w:eastAsia="宋体" w:cs="Times New Roman"/>
          <w:sz w:val="24"/>
          <w:szCs w:val="24"/>
        </w:rPr>
        <w:t>cm/s。</w:t>
      </w:r>
    </w:p>
    <w:p>
      <w:pPr>
        <w:pStyle w:val="33"/>
        <w:rPr>
          <w:color w:val="auto"/>
        </w:rPr>
      </w:pPr>
      <w:r>
        <w:rPr>
          <w:rFonts w:hint="eastAsia"/>
          <w:color w:val="auto"/>
        </w:rPr>
        <w:t>5</w:t>
      </w:r>
      <w:r>
        <w:rPr>
          <w:color w:val="auto"/>
        </w:rPr>
        <w:t>.4.2.2</w:t>
      </w:r>
      <w:r>
        <w:rPr>
          <w:rFonts w:hint="eastAsia"/>
          <w:color w:val="auto"/>
        </w:rPr>
        <w:t>危废暂存间的管理要求：</w:t>
      </w:r>
    </w:p>
    <w:p>
      <w:pPr>
        <w:widowControl/>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做好危险废物的日常记录工作；</w:t>
      </w:r>
    </w:p>
    <w:p>
      <w:pPr>
        <w:widowControl/>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定期对暂存</w:t>
      </w:r>
      <w:r>
        <w:rPr>
          <w:rFonts w:hint="eastAsia" w:ascii="Times New Roman" w:hAnsi="Times New Roman" w:eastAsia="宋体" w:cs="Times New Roman"/>
          <w:sz w:val="24"/>
          <w:szCs w:val="24"/>
        </w:rPr>
        <w:t>间</w:t>
      </w:r>
      <w:r>
        <w:rPr>
          <w:rFonts w:ascii="Times New Roman" w:hAnsi="Times New Roman" w:eastAsia="宋体" w:cs="Times New Roman"/>
          <w:sz w:val="24"/>
          <w:szCs w:val="24"/>
        </w:rPr>
        <w:t>进行检查，发现破损，及时采取补救措施；</w:t>
      </w:r>
    </w:p>
    <w:p>
      <w:pPr>
        <w:widowControl/>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不将不相容的废物混合或合并存放。</w:t>
      </w:r>
    </w:p>
    <w:p>
      <w:pPr>
        <w:spacing w:before="80" w:after="80" w:line="480" w:lineRule="exact"/>
        <w:outlineLvl w:val="2"/>
        <w:rPr>
          <w:rFonts w:ascii="Times New Roman" w:hAnsi="Times New Roman" w:eastAsia="楷体" w:cs="Times New Roman"/>
          <w:sz w:val="28"/>
          <w:szCs w:val="28"/>
        </w:rPr>
      </w:pPr>
      <w:bookmarkStart w:id="100" w:name="_Toc512973653"/>
      <w:bookmarkStart w:id="101" w:name="_Toc8391579"/>
      <w:r>
        <w:rPr>
          <w:rFonts w:ascii="Times New Roman" w:hAnsi="Times New Roman" w:eastAsia="楷体" w:cs="Times New Roman"/>
          <w:sz w:val="28"/>
          <w:szCs w:val="28"/>
        </w:rPr>
        <w:t>5</w:t>
      </w:r>
      <w:r>
        <w:rPr>
          <w:rFonts w:hint="eastAsia" w:ascii="Times New Roman" w:hAnsi="Times New Roman" w:eastAsia="楷体" w:cs="Times New Roman"/>
          <w:sz w:val="28"/>
          <w:szCs w:val="28"/>
        </w:rPr>
        <w:t>.</w:t>
      </w:r>
      <w:r>
        <w:rPr>
          <w:rFonts w:ascii="Times New Roman" w:hAnsi="Times New Roman" w:eastAsia="楷体" w:cs="Times New Roman"/>
          <w:sz w:val="28"/>
          <w:szCs w:val="28"/>
        </w:rPr>
        <w:t>4</w:t>
      </w:r>
      <w:r>
        <w:rPr>
          <w:rFonts w:hint="eastAsia" w:ascii="Times New Roman" w:hAnsi="Times New Roman" w:eastAsia="楷体" w:cs="Times New Roman"/>
          <w:sz w:val="28"/>
          <w:szCs w:val="28"/>
        </w:rPr>
        <w:t>.3</w:t>
      </w:r>
      <w:r>
        <w:rPr>
          <w:rFonts w:ascii="Times New Roman" w:hAnsi="Times New Roman" w:eastAsia="楷体" w:cs="Times New Roman"/>
          <w:sz w:val="28"/>
          <w:szCs w:val="28"/>
        </w:rPr>
        <w:t>危险废物转运的控制措施</w:t>
      </w:r>
      <w:bookmarkEnd w:id="100"/>
      <w:bookmarkEnd w:id="101"/>
    </w:p>
    <w:p>
      <w:pPr>
        <w:widowControl/>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将危险废弃物委托给有资质的危险废物处理单位处理时，应遵照原国家环保总局《危险废物转移联单管理办法》等中的规定执行，在转移前必须向环保部门提供利用方的危险废物经营许可证，并办理危险废物转移联单手续。禁止在转移过程中将危险废物随处倾倒而严重污染环境。</w:t>
      </w:r>
    </w:p>
    <w:p>
      <w:pPr>
        <w:widowControl/>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在各类废物暂存和外销、外委运输过程中应采取防渗漏、防风、防晒、防雨等措施，防止废物洒漏造成污染。对危险废物的运输应按照《汽车危险品货物运输规则》（JTJ3130-88）、《道路危险货物运输管理规定》（2005 年第 9 号）、《汽车运输、装卸危险货物作业规程》（JT618）、《道路运输危险货物车辆标志》（GB13392）中的有关规定执行。</w:t>
      </w:r>
    </w:p>
    <w:p>
      <w:pPr>
        <w:widowControl/>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（2）公司要建立危险废弃物管理制度和分类管理档案，对危险废弃物的处理和收运都应由指定的专业人员负责，做好宣传教育工作，严禁任何人随意排放固体废弃物。</w:t>
      </w:r>
    </w:p>
    <w:p>
      <w:pPr>
        <w:pStyle w:val="39"/>
        <w:rPr>
          <w:color w:val="auto"/>
        </w:rPr>
      </w:pPr>
      <w:bookmarkStart w:id="102" w:name="_Toc512973654"/>
      <w:bookmarkStart w:id="103" w:name="_Toc8391580"/>
      <w:r>
        <w:rPr>
          <w:color w:val="auto"/>
        </w:rPr>
        <w:t>5</w:t>
      </w:r>
      <w:r>
        <w:rPr>
          <w:rFonts w:hint="eastAsia"/>
          <w:color w:val="auto"/>
        </w:rPr>
        <w:t>.</w:t>
      </w:r>
      <w:r>
        <w:rPr>
          <w:color w:val="auto"/>
        </w:rPr>
        <w:t>5</w:t>
      </w:r>
      <w:r>
        <w:rPr>
          <w:rFonts w:hint="eastAsia"/>
          <w:color w:val="auto"/>
        </w:rPr>
        <w:t>地下水污染防治措施</w:t>
      </w:r>
      <w:bookmarkEnd w:id="102"/>
      <w:bookmarkEnd w:id="103"/>
    </w:p>
    <w:p>
      <w:pPr>
        <w:pStyle w:val="24"/>
        <w:ind w:firstLine="482"/>
        <w:jc w:val="both"/>
        <w:rPr>
          <w:b/>
          <w:color w:val="auto"/>
          <w:kern w:val="0"/>
        </w:rPr>
      </w:pPr>
      <w:r>
        <w:rPr>
          <w:rFonts w:hint="eastAsia"/>
          <w:b/>
          <w:color w:val="auto"/>
          <w:kern w:val="0"/>
        </w:rPr>
        <w:t>变更后地下水污染防治</w:t>
      </w:r>
      <w:r>
        <w:rPr>
          <w:b/>
          <w:color w:val="auto"/>
          <w:kern w:val="0"/>
        </w:rPr>
        <w:t>措施</w:t>
      </w:r>
      <w:r>
        <w:rPr>
          <w:rFonts w:hint="eastAsia"/>
          <w:b/>
          <w:color w:val="auto"/>
          <w:kern w:val="0"/>
        </w:rPr>
        <w:t>与原环评一致。</w:t>
      </w:r>
    </w:p>
    <w:p>
      <w:pPr>
        <w:pStyle w:val="24"/>
        <w:ind w:firstLine="480"/>
        <w:jc w:val="both"/>
        <w:rPr>
          <w:color w:val="auto"/>
          <w:kern w:val="0"/>
        </w:rPr>
      </w:pPr>
      <w:r>
        <w:rPr>
          <w:rFonts w:hint="eastAsia"/>
          <w:color w:val="auto"/>
          <w:kern w:val="0"/>
        </w:rPr>
        <w:t>针对本项目可能发生的地下水污染，地下水污染防治措施按照“源头控制、末端防治、污染监控、应急响应”相结合的原则，从污染物的产生、入渗、扩散、应急响应全阶段进行控制。</w:t>
      </w:r>
    </w:p>
    <w:p>
      <w:pPr>
        <w:spacing w:before="80" w:after="80" w:line="520" w:lineRule="exact"/>
        <w:outlineLvl w:val="2"/>
        <w:rPr>
          <w:rFonts w:ascii="Times New Roman" w:hAnsi="Times New Roman" w:eastAsia="楷体" w:cs="Times New Roman"/>
          <w:sz w:val="28"/>
          <w:szCs w:val="28"/>
        </w:rPr>
      </w:pPr>
      <w:bookmarkStart w:id="104" w:name="_Toc512973655"/>
      <w:bookmarkStart w:id="105" w:name="_Toc8391581"/>
      <w:r>
        <w:rPr>
          <w:rFonts w:ascii="Times New Roman" w:hAnsi="Times New Roman" w:eastAsia="楷体" w:cs="Times New Roman"/>
          <w:sz w:val="28"/>
          <w:szCs w:val="28"/>
        </w:rPr>
        <w:t>5</w:t>
      </w:r>
      <w:r>
        <w:rPr>
          <w:rFonts w:hint="eastAsia" w:ascii="Times New Roman" w:hAnsi="Times New Roman" w:eastAsia="楷体" w:cs="Times New Roman"/>
          <w:sz w:val="28"/>
          <w:szCs w:val="28"/>
        </w:rPr>
        <w:t>.</w:t>
      </w:r>
      <w:r>
        <w:rPr>
          <w:rFonts w:ascii="Times New Roman" w:hAnsi="Times New Roman" w:eastAsia="楷体" w:cs="Times New Roman"/>
          <w:sz w:val="28"/>
          <w:szCs w:val="28"/>
        </w:rPr>
        <w:t>5</w:t>
      </w:r>
      <w:r>
        <w:rPr>
          <w:rFonts w:hint="eastAsia" w:ascii="Times New Roman" w:hAnsi="Times New Roman" w:eastAsia="楷体" w:cs="Times New Roman"/>
          <w:sz w:val="28"/>
          <w:szCs w:val="28"/>
        </w:rPr>
        <w:t>.1地下水污染防治措施</w:t>
      </w:r>
      <w:bookmarkEnd w:id="104"/>
      <w:bookmarkEnd w:id="105"/>
    </w:p>
    <w:p>
      <w:pPr>
        <w:pStyle w:val="33"/>
        <w:rPr>
          <w:color w:val="auto"/>
        </w:rPr>
      </w:pPr>
      <w:r>
        <w:rPr>
          <w:color w:val="auto"/>
        </w:rPr>
        <w:t>5</w:t>
      </w:r>
      <w:r>
        <w:rPr>
          <w:rFonts w:hint="eastAsia"/>
          <w:color w:val="auto"/>
        </w:rPr>
        <w:t>.</w:t>
      </w:r>
      <w:r>
        <w:rPr>
          <w:color w:val="auto"/>
        </w:rPr>
        <w:t>5</w:t>
      </w:r>
      <w:r>
        <w:rPr>
          <w:rFonts w:hint="eastAsia"/>
          <w:color w:val="auto"/>
        </w:rPr>
        <w:t>.</w:t>
      </w:r>
      <w:r>
        <w:rPr>
          <w:color w:val="auto"/>
        </w:rPr>
        <w:t>1</w:t>
      </w:r>
      <w:r>
        <w:rPr>
          <w:rFonts w:hint="eastAsia"/>
          <w:color w:val="auto"/>
        </w:rPr>
        <w:t>.</w:t>
      </w:r>
      <w:r>
        <w:rPr>
          <w:color w:val="auto"/>
        </w:rPr>
        <w:t>1</w:t>
      </w:r>
      <w:r>
        <w:rPr>
          <w:rFonts w:hint="eastAsia"/>
          <w:color w:val="auto"/>
        </w:rPr>
        <w:t>源头控制措施</w:t>
      </w:r>
    </w:p>
    <w:p>
      <w:pPr>
        <w:pStyle w:val="24"/>
        <w:ind w:firstLine="480"/>
        <w:jc w:val="both"/>
        <w:rPr>
          <w:color w:val="auto"/>
          <w:kern w:val="0"/>
        </w:rPr>
      </w:pPr>
      <w:r>
        <w:rPr>
          <w:rFonts w:hint="eastAsia"/>
          <w:color w:val="auto"/>
          <w:kern w:val="0"/>
        </w:rPr>
        <w:t>为防止有毒有害物料泄漏及“跑、冒、滴、漏”入渗地面造成地下水污染，首先要从源头控制；采用质量优良的泵机及阀门；高浓度物料及废液的输送尽可能采用明管敷设；避免采用地下及半地下储存设施，以便于监控；做好容器及管道的防腐处理，做好</w:t>
      </w:r>
      <w:r>
        <w:rPr>
          <w:color w:val="auto"/>
          <w:kern w:val="0"/>
        </w:rPr>
        <w:t>地面</w:t>
      </w:r>
      <w:r>
        <w:rPr>
          <w:rFonts w:hint="eastAsia"/>
          <w:color w:val="auto"/>
          <w:kern w:val="0"/>
        </w:rPr>
        <w:t>硬化</w:t>
      </w:r>
      <w:r>
        <w:rPr>
          <w:color w:val="auto"/>
          <w:kern w:val="0"/>
        </w:rPr>
        <w:t>，</w:t>
      </w:r>
      <w:r>
        <w:rPr>
          <w:rFonts w:hint="eastAsia"/>
          <w:color w:val="auto"/>
          <w:kern w:val="0"/>
        </w:rPr>
        <w:t>尽可能避免和减少滴漏于地面。</w:t>
      </w:r>
    </w:p>
    <w:p>
      <w:pPr>
        <w:pStyle w:val="33"/>
        <w:rPr>
          <w:color w:val="auto"/>
        </w:rPr>
      </w:pPr>
      <w:r>
        <w:rPr>
          <w:color w:val="auto"/>
        </w:rPr>
        <w:t>5</w:t>
      </w:r>
      <w:r>
        <w:rPr>
          <w:rFonts w:hint="eastAsia"/>
          <w:color w:val="auto"/>
        </w:rPr>
        <w:t>.</w:t>
      </w:r>
      <w:r>
        <w:rPr>
          <w:color w:val="auto"/>
        </w:rPr>
        <w:t>5</w:t>
      </w:r>
      <w:r>
        <w:rPr>
          <w:rFonts w:hint="eastAsia"/>
          <w:color w:val="auto"/>
        </w:rPr>
        <w:t>.</w:t>
      </w:r>
      <w:r>
        <w:rPr>
          <w:color w:val="auto"/>
        </w:rPr>
        <w:t>1</w:t>
      </w:r>
      <w:r>
        <w:rPr>
          <w:rFonts w:hint="eastAsia"/>
          <w:color w:val="auto"/>
        </w:rPr>
        <w:t>.</w:t>
      </w:r>
      <w:r>
        <w:rPr>
          <w:color w:val="auto"/>
        </w:rPr>
        <w:t>2</w:t>
      </w:r>
      <w:r>
        <w:rPr>
          <w:rFonts w:hint="eastAsia"/>
          <w:color w:val="auto"/>
        </w:rPr>
        <w:t>分区防渗</w:t>
      </w:r>
    </w:p>
    <w:p>
      <w:pPr>
        <w:pStyle w:val="24"/>
        <w:ind w:firstLine="480"/>
        <w:jc w:val="both"/>
        <w:rPr>
          <w:color w:val="auto"/>
          <w:kern w:val="0"/>
        </w:rPr>
      </w:pPr>
      <w:r>
        <w:rPr>
          <w:rFonts w:hint="eastAsia"/>
          <w:color w:val="auto"/>
          <w:kern w:val="0"/>
        </w:rPr>
        <w:t>为了防止本项目的建设对地下水造成污染，本项目根据项目物料或者污染物泄漏的途径和生产功能单元所处的位置有害物质可能泄漏到地面的区域，将厂区划分为一般防渗区和重点防渗区等</w:t>
      </w:r>
      <w:r>
        <w:rPr>
          <w:color w:val="auto"/>
          <w:kern w:val="0"/>
        </w:rPr>
        <w:t>区域</w:t>
      </w:r>
      <w:r>
        <w:rPr>
          <w:rFonts w:hint="eastAsia"/>
          <w:color w:val="auto"/>
          <w:kern w:val="0"/>
        </w:rPr>
        <w:t>进行分区防渗。</w:t>
      </w:r>
    </w:p>
    <w:p>
      <w:pPr>
        <w:pStyle w:val="24"/>
        <w:ind w:firstLine="480"/>
        <w:jc w:val="both"/>
        <w:rPr>
          <w:color w:val="auto"/>
          <w:kern w:val="0"/>
        </w:rPr>
      </w:pPr>
      <w:r>
        <w:rPr>
          <w:color w:val="auto"/>
          <w:kern w:val="0"/>
        </w:rPr>
        <w:t>根据天然包气带防污性能、污染控制难易程度和污染物类型，确定厂内防渗分区，并对各分区提出相应的防渗措施，具体污染控制难易程度及包气带防污性能见表5.5-</w:t>
      </w:r>
      <w:r>
        <w:rPr>
          <w:rFonts w:hint="eastAsia"/>
          <w:color w:val="auto"/>
          <w:kern w:val="0"/>
        </w:rPr>
        <w:t>1</w:t>
      </w:r>
      <w:r>
        <w:rPr>
          <w:color w:val="auto"/>
          <w:kern w:val="0"/>
        </w:rPr>
        <w:t>及</w:t>
      </w:r>
      <w:r>
        <w:rPr>
          <w:rFonts w:hint="eastAsia"/>
          <w:color w:val="auto"/>
          <w:kern w:val="0"/>
        </w:rPr>
        <w:t>表</w:t>
      </w:r>
      <w:r>
        <w:rPr>
          <w:color w:val="auto"/>
          <w:kern w:val="0"/>
        </w:rPr>
        <w:t>5.5-</w:t>
      </w:r>
      <w:r>
        <w:rPr>
          <w:rFonts w:hint="eastAsia"/>
          <w:color w:val="auto"/>
          <w:kern w:val="0"/>
        </w:rPr>
        <w:t>2</w:t>
      </w:r>
      <w:r>
        <w:rPr>
          <w:color w:val="auto"/>
          <w:kern w:val="0"/>
        </w:rPr>
        <w:t>，地下水污染分区防渗参照表见表5.5-</w:t>
      </w:r>
      <w:r>
        <w:rPr>
          <w:rFonts w:hint="eastAsia"/>
          <w:color w:val="auto"/>
          <w:kern w:val="0"/>
        </w:rPr>
        <w:t>3</w:t>
      </w:r>
      <w:r>
        <w:rPr>
          <w:color w:val="auto"/>
          <w:kern w:val="0"/>
        </w:rPr>
        <w:t>。</w:t>
      </w:r>
    </w:p>
    <w:p>
      <w:pPr>
        <w:spacing w:line="480" w:lineRule="exact"/>
        <w:ind w:firstLine="480" w:firstLineChars="200"/>
        <w:rPr>
          <w:rFonts w:ascii="Times New Roman" w:hAnsi="Times New Roman" w:eastAsia="黑体" w:cs="Times New Roman"/>
          <w:sz w:val="24"/>
        </w:rPr>
      </w:pPr>
      <w:r>
        <w:rPr>
          <w:rFonts w:ascii="Times New Roman" w:hAnsi="Times New Roman" w:eastAsia="黑体" w:cs="Times New Roman"/>
          <w:sz w:val="24"/>
        </w:rPr>
        <w:t>表5.5-</w:t>
      </w:r>
      <w:r>
        <w:rPr>
          <w:rFonts w:hint="eastAsia" w:ascii="Times New Roman" w:hAnsi="Times New Roman" w:eastAsia="黑体" w:cs="Times New Roman"/>
          <w:sz w:val="24"/>
        </w:rPr>
        <w:t>1           项目</w:t>
      </w:r>
      <w:r>
        <w:rPr>
          <w:rFonts w:ascii="Times New Roman" w:hAnsi="Times New Roman" w:eastAsia="黑体" w:cs="Times New Roman"/>
          <w:sz w:val="24"/>
        </w:rPr>
        <w:t>污染控制难易程度分级参照</w:t>
      </w:r>
      <w:r>
        <w:rPr>
          <w:rFonts w:hint="eastAsia" w:ascii="Times New Roman" w:hAnsi="Times New Roman" w:eastAsia="黑体" w:cs="Times New Roman"/>
          <w:sz w:val="24"/>
        </w:rPr>
        <w:t>一览</w:t>
      </w:r>
      <w:r>
        <w:rPr>
          <w:rFonts w:ascii="Times New Roman" w:hAnsi="Times New Roman" w:eastAsia="黑体" w:cs="Times New Roman"/>
          <w:sz w:val="24"/>
        </w:rPr>
        <w:t>表</w:t>
      </w:r>
    </w:p>
    <w:tbl>
      <w:tblPr>
        <w:tblStyle w:val="19"/>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995" w:type="dxa"/>
            <w:vAlign w:val="center"/>
          </w:tcPr>
          <w:p>
            <w:pPr>
              <w:pStyle w:val="58"/>
              <w:rPr>
                <w:color w:val="auto"/>
              </w:rPr>
            </w:pPr>
            <w:r>
              <w:rPr>
                <w:color w:val="auto"/>
              </w:rPr>
              <w:t>污染控制难易程度</w:t>
            </w:r>
          </w:p>
        </w:tc>
        <w:tc>
          <w:tcPr>
            <w:tcW w:w="6725" w:type="dxa"/>
            <w:vAlign w:val="center"/>
          </w:tcPr>
          <w:p>
            <w:pPr>
              <w:pStyle w:val="58"/>
              <w:rPr>
                <w:color w:val="auto"/>
              </w:rPr>
            </w:pPr>
            <w:r>
              <w:rPr>
                <w:color w:val="auto"/>
              </w:rPr>
              <w:t>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995" w:type="dxa"/>
            <w:vAlign w:val="center"/>
          </w:tcPr>
          <w:p>
            <w:pPr>
              <w:pStyle w:val="58"/>
              <w:rPr>
                <w:color w:val="auto"/>
              </w:rPr>
            </w:pPr>
            <w:r>
              <w:rPr>
                <w:color w:val="auto"/>
              </w:rPr>
              <w:t>难</w:t>
            </w:r>
          </w:p>
        </w:tc>
        <w:tc>
          <w:tcPr>
            <w:tcW w:w="6725" w:type="dxa"/>
            <w:vAlign w:val="center"/>
          </w:tcPr>
          <w:p>
            <w:pPr>
              <w:pStyle w:val="58"/>
              <w:rPr>
                <w:color w:val="auto"/>
              </w:rPr>
            </w:pPr>
            <w:r>
              <w:rPr>
                <w:color w:val="auto"/>
              </w:rPr>
              <w:t>对地下水环境有污染的物料或污染物泄漏后，不能及时发现和处理。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995" w:type="dxa"/>
            <w:vAlign w:val="center"/>
          </w:tcPr>
          <w:p>
            <w:pPr>
              <w:pStyle w:val="58"/>
              <w:rPr>
                <w:color w:val="auto"/>
              </w:rPr>
            </w:pPr>
            <w:r>
              <w:rPr>
                <w:color w:val="auto"/>
              </w:rPr>
              <w:t>易</w:t>
            </w:r>
          </w:p>
        </w:tc>
        <w:tc>
          <w:tcPr>
            <w:tcW w:w="6725" w:type="dxa"/>
            <w:vAlign w:val="center"/>
          </w:tcPr>
          <w:p>
            <w:pPr>
              <w:pStyle w:val="58"/>
              <w:rPr>
                <w:color w:val="auto"/>
              </w:rPr>
            </w:pPr>
            <w:r>
              <w:rPr>
                <w:color w:val="auto"/>
              </w:rPr>
              <w:t>对地下水环境有污染的物料或污染物泄漏后，可及时发现和处理。</w:t>
            </w:r>
          </w:p>
        </w:tc>
      </w:tr>
    </w:tbl>
    <w:p>
      <w:pPr>
        <w:spacing w:line="480" w:lineRule="exact"/>
        <w:ind w:firstLine="480" w:firstLineChars="200"/>
        <w:rPr>
          <w:rFonts w:ascii="Times New Roman" w:hAnsi="Times New Roman" w:eastAsia="黑体" w:cs="Times New Roman"/>
          <w:sz w:val="24"/>
        </w:rPr>
      </w:pPr>
      <w:r>
        <w:rPr>
          <w:rFonts w:ascii="Times New Roman" w:hAnsi="Times New Roman" w:eastAsia="黑体" w:cs="Times New Roman"/>
          <w:sz w:val="24"/>
        </w:rPr>
        <w:t>表5.5</w:t>
      </w:r>
      <w:r>
        <w:rPr>
          <w:rFonts w:hint="eastAsia" w:ascii="Times New Roman" w:hAnsi="Times New Roman" w:eastAsia="黑体" w:cs="Times New Roman"/>
          <w:sz w:val="24"/>
        </w:rPr>
        <w:t>-2          项目</w:t>
      </w:r>
      <w:r>
        <w:rPr>
          <w:rFonts w:ascii="Times New Roman" w:hAnsi="Times New Roman" w:eastAsia="黑体" w:cs="Times New Roman"/>
          <w:sz w:val="24"/>
        </w:rPr>
        <w:t>天然包气带防污性能分级参照</w:t>
      </w:r>
      <w:r>
        <w:rPr>
          <w:rFonts w:hint="eastAsia" w:ascii="Times New Roman" w:hAnsi="Times New Roman" w:eastAsia="黑体" w:cs="Times New Roman"/>
          <w:sz w:val="24"/>
        </w:rPr>
        <w:t>一览</w:t>
      </w:r>
      <w:r>
        <w:rPr>
          <w:rFonts w:ascii="Times New Roman" w:hAnsi="Times New Roman" w:eastAsia="黑体" w:cs="Times New Roman"/>
          <w:sz w:val="24"/>
        </w:rPr>
        <w:t>表</w:t>
      </w:r>
    </w:p>
    <w:tbl>
      <w:tblPr>
        <w:tblStyle w:val="19"/>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705" w:type="dxa"/>
            <w:vAlign w:val="center"/>
          </w:tcPr>
          <w:p>
            <w:pPr>
              <w:pStyle w:val="58"/>
              <w:rPr>
                <w:color w:val="auto"/>
              </w:rPr>
            </w:pPr>
            <w:r>
              <w:rPr>
                <w:color w:val="auto"/>
              </w:rPr>
              <w:t>分级</w:t>
            </w:r>
          </w:p>
        </w:tc>
        <w:tc>
          <w:tcPr>
            <w:tcW w:w="8015" w:type="dxa"/>
            <w:vAlign w:val="center"/>
          </w:tcPr>
          <w:p>
            <w:pPr>
              <w:pStyle w:val="58"/>
              <w:rPr>
                <w:color w:val="auto"/>
              </w:rPr>
            </w:pPr>
            <w:r>
              <w:rPr>
                <w:color w:val="auto"/>
              </w:rPr>
              <w:t>包气带岩土的渗透性能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05" w:type="dxa"/>
            <w:vAlign w:val="center"/>
          </w:tcPr>
          <w:p>
            <w:pPr>
              <w:pStyle w:val="58"/>
              <w:rPr>
                <w:color w:val="auto"/>
              </w:rPr>
            </w:pPr>
            <w:r>
              <w:rPr>
                <w:color w:val="auto"/>
              </w:rPr>
              <w:t>强</w:t>
            </w:r>
          </w:p>
        </w:tc>
        <w:tc>
          <w:tcPr>
            <w:tcW w:w="8015" w:type="dxa"/>
            <w:vAlign w:val="center"/>
          </w:tcPr>
          <w:p>
            <w:pPr>
              <w:pStyle w:val="58"/>
              <w:rPr>
                <w:color w:val="auto"/>
              </w:rPr>
            </w:pPr>
            <w:r>
              <w:rPr>
                <w:color w:val="auto"/>
              </w:rPr>
              <w:t>岩（土）层单层厚度Mb≥1.0m，渗透系数K≤10</w:t>
            </w:r>
            <w:r>
              <w:rPr>
                <w:color w:val="auto"/>
                <w:vertAlign w:val="superscript"/>
              </w:rPr>
              <w:t>-7</w:t>
            </w:r>
            <w:r>
              <w:rPr>
                <w:color w:val="auto"/>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705" w:type="dxa"/>
            <w:vAlign w:val="center"/>
          </w:tcPr>
          <w:p>
            <w:pPr>
              <w:pStyle w:val="58"/>
              <w:rPr>
                <w:color w:val="auto"/>
              </w:rPr>
            </w:pPr>
            <w:r>
              <w:rPr>
                <w:color w:val="auto"/>
              </w:rPr>
              <w:t>中</w:t>
            </w:r>
          </w:p>
        </w:tc>
        <w:tc>
          <w:tcPr>
            <w:tcW w:w="8015" w:type="dxa"/>
            <w:vAlign w:val="center"/>
          </w:tcPr>
          <w:p>
            <w:pPr>
              <w:pStyle w:val="58"/>
              <w:rPr>
                <w:color w:val="auto"/>
              </w:rPr>
            </w:pPr>
            <w:r>
              <w:rPr>
                <w:color w:val="auto"/>
              </w:rPr>
              <w:t>岩（土）层单层厚度0.5m≤Mb＜1.0m，渗透系数K≤10</w:t>
            </w:r>
            <w:r>
              <w:rPr>
                <w:color w:val="auto"/>
                <w:vertAlign w:val="superscript"/>
              </w:rPr>
              <w:t>-7</w:t>
            </w:r>
            <w:r>
              <w:rPr>
                <w:color w:val="auto"/>
              </w:rPr>
              <w:t>cm/s，且分布连续、稳定。</w:t>
            </w:r>
          </w:p>
          <w:p>
            <w:pPr>
              <w:pStyle w:val="58"/>
              <w:rPr>
                <w:color w:val="auto"/>
              </w:rPr>
            </w:pPr>
            <w:r>
              <w:rPr>
                <w:color w:val="auto"/>
              </w:rPr>
              <w:t>岩（土）层单层厚度Mb≥1.0m，渗透系数10</w:t>
            </w:r>
            <w:r>
              <w:rPr>
                <w:color w:val="auto"/>
                <w:vertAlign w:val="superscript"/>
              </w:rPr>
              <w:t>-7</w:t>
            </w:r>
            <w:r>
              <w:rPr>
                <w:color w:val="auto"/>
              </w:rPr>
              <w:t>cm/s＜K≤10</w:t>
            </w:r>
            <w:r>
              <w:rPr>
                <w:color w:val="auto"/>
                <w:vertAlign w:val="superscript"/>
              </w:rPr>
              <w:t>-4</w:t>
            </w:r>
            <w:r>
              <w:rPr>
                <w:color w:val="auto"/>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05" w:type="dxa"/>
            <w:vAlign w:val="center"/>
          </w:tcPr>
          <w:p>
            <w:pPr>
              <w:pStyle w:val="58"/>
              <w:rPr>
                <w:color w:val="auto"/>
              </w:rPr>
            </w:pPr>
            <w:r>
              <w:rPr>
                <w:color w:val="auto"/>
              </w:rPr>
              <w:t>弱</w:t>
            </w:r>
          </w:p>
        </w:tc>
        <w:tc>
          <w:tcPr>
            <w:tcW w:w="8015" w:type="dxa"/>
            <w:vAlign w:val="center"/>
          </w:tcPr>
          <w:p>
            <w:pPr>
              <w:pStyle w:val="58"/>
              <w:rPr>
                <w:color w:val="auto"/>
              </w:rPr>
            </w:pPr>
            <w:r>
              <w:rPr>
                <w:color w:val="auto"/>
              </w:rPr>
              <w:t>岩（土）层不满足上述“强”和“中”条件。</w:t>
            </w:r>
          </w:p>
        </w:tc>
      </w:tr>
    </w:tbl>
    <w:p>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注：表中“岩（土）层”系指建设项目场地地下基础之下第一岩（土）层；包气带岩（土）的渗透系数系指包气带岩土饱水时的垂向渗透系数。</w:t>
      </w:r>
    </w:p>
    <w:p>
      <w:pPr>
        <w:spacing w:line="480" w:lineRule="exact"/>
        <w:ind w:firstLine="480" w:firstLineChars="200"/>
        <w:rPr>
          <w:rFonts w:ascii="Times New Roman" w:hAnsi="Times New Roman" w:eastAsia="黑体" w:cs="Times New Roman"/>
          <w:sz w:val="24"/>
        </w:rPr>
      </w:pPr>
      <w:r>
        <w:rPr>
          <w:rFonts w:ascii="Times New Roman" w:hAnsi="Times New Roman" w:eastAsia="黑体" w:cs="Times New Roman"/>
          <w:sz w:val="24"/>
        </w:rPr>
        <w:t>表5.5</w:t>
      </w:r>
      <w:r>
        <w:rPr>
          <w:rFonts w:hint="eastAsia" w:ascii="Times New Roman" w:hAnsi="Times New Roman" w:eastAsia="黑体" w:cs="Times New Roman"/>
          <w:sz w:val="24"/>
        </w:rPr>
        <w:t>-3           项目</w:t>
      </w:r>
      <w:r>
        <w:rPr>
          <w:rFonts w:ascii="Times New Roman" w:hAnsi="Times New Roman" w:eastAsia="黑体" w:cs="Times New Roman"/>
          <w:sz w:val="24"/>
        </w:rPr>
        <w:t>地下水污染防渗分区参照</w:t>
      </w:r>
      <w:r>
        <w:rPr>
          <w:rFonts w:hint="eastAsia" w:ascii="Times New Roman" w:hAnsi="Times New Roman" w:eastAsia="黑体" w:cs="Times New Roman"/>
          <w:sz w:val="24"/>
        </w:rPr>
        <w:t>一览</w:t>
      </w:r>
      <w:r>
        <w:rPr>
          <w:rFonts w:ascii="Times New Roman" w:hAnsi="Times New Roman" w:eastAsia="黑体" w:cs="Times New Roman"/>
          <w:sz w:val="24"/>
        </w:rPr>
        <w:t>表</w:t>
      </w:r>
    </w:p>
    <w:tbl>
      <w:tblPr>
        <w:tblStyle w:val="19"/>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599"/>
        <w:gridCol w:w="1236"/>
        <w:gridCol w:w="1699"/>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415" w:type="dxa"/>
            <w:vAlign w:val="center"/>
          </w:tcPr>
          <w:p>
            <w:pPr>
              <w:pStyle w:val="58"/>
              <w:rPr>
                <w:color w:val="auto"/>
              </w:rPr>
            </w:pPr>
            <w:r>
              <w:rPr>
                <w:color w:val="auto"/>
              </w:rPr>
              <w:t>防渗分区</w:t>
            </w:r>
          </w:p>
        </w:tc>
        <w:tc>
          <w:tcPr>
            <w:tcW w:w="1599" w:type="dxa"/>
            <w:vAlign w:val="center"/>
          </w:tcPr>
          <w:p>
            <w:pPr>
              <w:pStyle w:val="58"/>
              <w:rPr>
                <w:color w:val="auto"/>
              </w:rPr>
            </w:pPr>
            <w:r>
              <w:rPr>
                <w:color w:val="auto"/>
              </w:rPr>
              <w:t>天然包气带防污性能</w:t>
            </w:r>
          </w:p>
        </w:tc>
        <w:tc>
          <w:tcPr>
            <w:tcW w:w="1236" w:type="dxa"/>
            <w:vAlign w:val="center"/>
          </w:tcPr>
          <w:p>
            <w:pPr>
              <w:pStyle w:val="58"/>
              <w:rPr>
                <w:color w:val="auto"/>
              </w:rPr>
            </w:pPr>
            <w:r>
              <w:rPr>
                <w:color w:val="auto"/>
              </w:rPr>
              <w:t>污染控制难易程度</w:t>
            </w:r>
          </w:p>
        </w:tc>
        <w:tc>
          <w:tcPr>
            <w:tcW w:w="1699" w:type="dxa"/>
            <w:vAlign w:val="center"/>
          </w:tcPr>
          <w:p>
            <w:pPr>
              <w:pStyle w:val="58"/>
              <w:rPr>
                <w:color w:val="auto"/>
              </w:rPr>
            </w:pPr>
            <w:r>
              <w:rPr>
                <w:color w:val="auto"/>
              </w:rPr>
              <w:t>污染物类型</w:t>
            </w:r>
          </w:p>
        </w:tc>
        <w:tc>
          <w:tcPr>
            <w:tcW w:w="2771" w:type="dxa"/>
            <w:vAlign w:val="center"/>
          </w:tcPr>
          <w:p>
            <w:pPr>
              <w:pStyle w:val="58"/>
              <w:rPr>
                <w:color w:val="auto"/>
              </w:rPr>
            </w:pPr>
            <w:r>
              <w:rPr>
                <w:color w:val="auto"/>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415" w:type="dxa"/>
            <w:vMerge w:val="restart"/>
            <w:vAlign w:val="center"/>
          </w:tcPr>
          <w:p>
            <w:pPr>
              <w:pStyle w:val="58"/>
              <w:rPr>
                <w:color w:val="auto"/>
              </w:rPr>
            </w:pPr>
            <w:r>
              <w:rPr>
                <w:color w:val="auto"/>
              </w:rPr>
              <w:t>重点防渗区</w:t>
            </w:r>
          </w:p>
        </w:tc>
        <w:tc>
          <w:tcPr>
            <w:tcW w:w="1599" w:type="dxa"/>
            <w:vAlign w:val="center"/>
          </w:tcPr>
          <w:p>
            <w:pPr>
              <w:pStyle w:val="58"/>
              <w:rPr>
                <w:color w:val="auto"/>
              </w:rPr>
            </w:pPr>
            <w:r>
              <w:rPr>
                <w:color w:val="auto"/>
              </w:rPr>
              <w:t>弱</w:t>
            </w:r>
          </w:p>
        </w:tc>
        <w:tc>
          <w:tcPr>
            <w:tcW w:w="1236" w:type="dxa"/>
            <w:vAlign w:val="center"/>
          </w:tcPr>
          <w:p>
            <w:pPr>
              <w:pStyle w:val="58"/>
              <w:rPr>
                <w:color w:val="auto"/>
              </w:rPr>
            </w:pPr>
            <w:r>
              <w:rPr>
                <w:color w:val="auto"/>
              </w:rPr>
              <w:t>难</w:t>
            </w:r>
          </w:p>
        </w:tc>
        <w:tc>
          <w:tcPr>
            <w:tcW w:w="1699" w:type="dxa"/>
            <w:vMerge w:val="restart"/>
            <w:vAlign w:val="center"/>
          </w:tcPr>
          <w:p>
            <w:pPr>
              <w:pStyle w:val="58"/>
              <w:rPr>
                <w:color w:val="auto"/>
              </w:rPr>
            </w:pPr>
            <w:r>
              <w:rPr>
                <w:color w:val="auto"/>
              </w:rPr>
              <w:t>重金属、持久性有机物污染物</w:t>
            </w:r>
          </w:p>
        </w:tc>
        <w:tc>
          <w:tcPr>
            <w:tcW w:w="2771" w:type="dxa"/>
            <w:vMerge w:val="restart"/>
            <w:vAlign w:val="center"/>
          </w:tcPr>
          <w:p>
            <w:pPr>
              <w:pStyle w:val="58"/>
              <w:rPr>
                <w:color w:val="auto"/>
              </w:rPr>
            </w:pPr>
            <w:r>
              <w:rPr>
                <w:color w:val="auto"/>
              </w:rPr>
              <w:t>等效黏土防渗层Mb≥6.0m，k≤1×10</w:t>
            </w:r>
            <w:r>
              <w:rPr>
                <w:color w:val="auto"/>
                <w:vertAlign w:val="superscript"/>
              </w:rPr>
              <w:t>-7</w:t>
            </w:r>
            <w:r>
              <w:rPr>
                <w:color w:val="auto"/>
              </w:rPr>
              <w:t>cm/s；或参照GB18598执行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415" w:type="dxa"/>
            <w:vMerge w:val="continue"/>
            <w:vAlign w:val="center"/>
          </w:tcPr>
          <w:p>
            <w:pPr>
              <w:pStyle w:val="58"/>
              <w:rPr>
                <w:color w:val="auto"/>
              </w:rPr>
            </w:pPr>
          </w:p>
        </w:tc>
        <w:tc>
          <w:tcPr>
            <w:tcW w:w="1599" w:type="dxa"/>
            <w:vAlign w:val="center"/>
          </w:tcPr>
          <w:p>
            <w:pPr>
              <w:pStyle w:val="58"/>
              <w:rPr>
                <w:color w:val="auto"/>
              </w:rPr>
            </w:pPr>
            <w:r>
              <w:rPr>
                <w:color w:val="auto"/>
              </w:rPr>
              <w:t>中-强</w:t>
            </w:r>
          </w:p>
        </w:tc>
        <w:tc>
          <w:tcPr>
            <w:tcW w:w="1236" w:type="dxa"/>
            <w:vAlign w:val="center"/>
          </w:tcPr>
          <w:p>
            <w:pPr>
              <w:pStyle w:val="58"/>
              <w:rPr>
                <w:color w:val="auto"/>
              </w:rPr>
            </w:pPr>
            <w:r>
              <w:rPr>
                <w:color w:val="auto"/>
              </w:rPr>
              <w:t>难</w:t>
            </w:r>
          </w:p>
        </w:tc>
        <w:tc>
          <w:tcPr>
            <w:tcW w:w="1699" w:type="dxa"/>
            <w:vMerge w:val="continue"/>
            <w:vAlign w:val="center"/>
          </w:tcPr>
          <w:p>
            <w:pPr>
              <w:pStyle w:val="58"/>
              <w:rPr>
                <w:color w:val="auto"/>
              </w:rPr>
            </w:pPr>
          </w:p>
        </w:tc>
        <w:tc>
          <w:tcPr>
            <w:tcW w:w="2771" w:type="dxa"/>
            <w:vMerge w:val="continue"/>
            <w:vAlign w:val="center"/>
          </w:tcPr>
          <w:p>
            <w:pPr>
              <w:pStyle w:val="58"/>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415" w:type="dxa"/>
            <w:vMerge w:val="continue"/>
            <w:vAlign w:val="center"/>
          </w:tcPr>
          <w:p>
            <w:pPr>
              <w:pStyle w:val="58"/>
              <w:rPr>
                <w:color w:val="auto"/>
              </w:rPr>
            </w:pPr>
          </w:p>
        </w:tc>
        <w:tc>
          <w:tcPr>
            <w:tcW w:w="1599" w:type="dxa"/>
            <w:vAlign w:val="center"/>
          </w:tcPr>
          <w:p>
            <w:pPr>
              <w:pStyle w:val="58"/>
              <w:rPr>
                <w:color w:val="auto"/>
              </w:rPr>
            </w:pPr>
            <w:r>
              <w:rPr>
                <w:color w:val="auto"/>
              </w:rPr>
              <w:t>弱</w:t>
            </w:r>
          </w:p>
        </w:tc>
        <w:tc>
          <w:tcPr>
            <w:tcW w:w="1236" w:type="dxa"/>
            <w:vAlign w:val="center"/>
          </w:tcPr>
          <w:p>
            <w:pPr>
              <w:pStyle w:val="58"/>
              <w:rPr>
                <w:color w:val="auto"/>
              </w:rPr>
            </w:pPr>
            <w:r>
              <w:rPr>
                <w:color w:val="auto"/>
              </w:rPr>
              <w:t>易</w:t>
            </w:r>
          </w:p>
        </w:tc>
        <w:tc>
          <w:tcPr>
            <w:tcW w:w="1699" w:type="dxa"/>
            <w:vMerge w:val="continue"/>
            <w:vAlign w:val="center"/>
          </w:tcPr>
          <w:p>
            <w:pPr>
              <w:pStyle w:val="58"/>
              <w:rPr>
                <w:color w:val="auto"/>
              </w:rPr>
            </w:pPr>
          </w:p>
        </w:tc>
        <w:tc>
          <w:tcPr>
            <w:tcW w:w="2771" w:type="dxa"/>
            <w:vMerge w:val="continue"/>
            <w:vAlign w:val="center"/>
          </w:tcPr>
          <w:p>
            <w:pPr>
              <w:pStyle w:val="58"/>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415" w:type="dxa"/>
            <w:vMerge w:val="restart"/>
            <w:vAlign w:val="center"/>
          </w:tcPr>
          <w:p>
            <w:pPr>
              <w:pStyle w:val="58"/>
              <w:rPr>
                <w:color w:val="auto"/>
              </w:rPr>
            </w:pPr>
            <w:r>
              <w:rPr>
                <w:color w:val="auto"/>
              </w:rPr>
              <w:t>一般防渗区</w:t>
            </w:r>
          </w:p>
        </w:tc>
        <w:tc>
          <w:tcPr>
            <w:tcW w:w="1599" w:type="dxa"/>
            <w:vAlign w:val="center"/>
          </w:tcPr>
          <w:p>
            <w:pPr>
              <w:pStyle w:val="58"/>
              <w:rPr>
                <w:color w:val="auto"/>
              </w:rPr>
            </w:pPr>
            <w:r>
              <w:rPr>
                <w:color w:val="auto"/>
              </w:rPr>
              <w:t>弱</w:t>
            </w:r>
          </w:p>
        </w:tc>
        <w:tc>
          <w:tcPr>
            <w:tcW w:w="1236" w:type="dxa"/>
            <w:vAlign w:val="center"/>
          </w:tcPr>
          <w:p>
            <w:pPr>
              <w:pStyle w:val="58"/>
              <w:rPr>
                <w:color w:val="auto"/>
              </w:rPr>
            </w:pPr>
            <w:r>
              <w:rPr>
                <w:color w:val="auto"/>
              </w:rPr>
              <w:t>易-难</w:t>
            </w:r>
          </w:p>
        </w:tc>
        <w:tc>
          <w:tcPr>
            <w:tcW w:w="1699" w:type="dxa"/>
            <w:vMerge w:val="restart"/>
            <w:vAlign w:val="center"/>
          </w:tcPr>
          <w:p>
            <w:pPr>
              <w:pStyle w:val="58"/>
              <w:rPr>
                <w:color w:val="auto"/>
              </w:rPr>
            </w:pPr>
            <w:r>
              <w:rPr>
                <w:color w:val="auto"/>
              </w:rPr>
              <w:t>其他类型</w:t>
            </w:r>
          </w:p>
        </w:tc>
        <w:tc>
          <w:tcPr>
            <w:tcW w:w="2771" w:type="dxa"/>
            <w:vMerge w:val="restart"/>
            <w:vAlign w:val="center"/>
          </w:tcPr>
          <w:p>
            <w:pPr>
              <w:pStyle w:val="58"/>
              <w:rPr>
                <w:color w:val="auto"/>
              </w:rPr>
            </w:pPr>
            <w:r>
              <w:rPr>
                <w:color w:val="auto"/>
              </w:rPr>
              <w:t>等效黏土防渗层Mb≥1.5m，k≤1×10</w:t>
            </w:r>
            <w:r>
              <w:rPr>
                <w:color w:val="auto"/>
                <w:vertAlign w:val="superscript"/>
              </w:rPr>
              <w:t>-7</w:t>
            </w:r>
            <w:r>
              <w:rPr>
                <w:color w:val="auto"/>
              </w:rPr>
              <w:t>cm/s；或参照GB16889执行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415" w:type="dxa"/>
            <w:vMerge w:val="continue"/>
            <w:vAlign w:val="center"/>
          </w:tcPr>
          <w:p>
            <w:pPr>
              <w:pStyle w:val="58"/>
              <w:rPr>
                <w:color w:val="auto"/>
              </w:rPr>
            </w:pPr>
          </w:p>
        </w:tc>
        <w:tc>
          <w:tcPr>
            <w:tcW w:w="1599" w:type="dxa"/>
            <w:vAlign w:val="center"/>
          </w:tcPr>
          <w:p>
            <w:pPr>
              <w:pStyle w:val="58"/>
              <w:rPr>
                <w:color w:val="auto"/>
              </w:rPr>
            </w:pPr>
            <w:r>
              <w:rPr>
                <w:color w:val="auto"/>
              </w:rPr>
              <w:t>中-强</w:t>
            </w:r>
          </w:p>
        </w:tc>
        <w:tc>
          <w:tcPr>
            <w:tcW w:w="1236" w:type="dxa"/>
            <w:vAlign w:val="center"/>
          </w:tcPr>
          <w:p>
            <w:pPr>
              <w:pStyle w:val="58"/>
              <w:rPr>
                <w:color w:val="auto"/>
              </w:rPr>
            </w:pPr>
            <w:r>
              <w:rPr>
                <w:color w:val="auto"/>
              </w:rPr>
              <w:t>难</w:t>
            </w:r>
          </w:p>
        </w:tc>
        <w:tc>
          <w:tcPr>
            <w:tcW w:w="1699" w:type="dxa"/>
            <w:vMerge w:val="continue"/>
            <w:vAlign w:val="center"/>
          </w:tcPr>
          <w:p>
            <w:pPr>
              <w:pStyle w:val="58"/>
              <w:rPr>
                <w:color w:val="auto"/>
              </w:rPr>
            </w:pPr>
          </w:p>
        </w:tc>
        <w:tc>
          <w:tcPr>
            <w:tcW w:w="2771" w:type="dxa"/>
            <w:vMerge w:val="continue"/>
            <w:vAlign w:val="center"/>
          </w:tcPr>
          <w:p>
            <w:pPr>
              <w:pStyle w:val="58"/>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415" w:type="dxa"/>
            <w:vMerge w:val="continue"/>
            <w:vAlign w:val="center"/>
          </w:tcPr>
          <w:p>
            <w:pPr>
              <w:pStyle w:val="58"/>
              <w:rPr>
                <w:color w:val="auto"/>
              </w:rPr>
            </w:pPr>
          </w:p>
        </w:tc>
        <w:tc>
          <w:tcPr>
            <w:tcW w:w="1599" w:type="dxa"/>
            <w:vAlign w:val="center"/>
          </w:tcPr>
          <w:p>
            <w:pPr>
              <w:pStyle w:val="58"/>
              <w:rPr>
                <w:color w:val="auto"/>
              </w:rPr>
            </w:pPr>
            <w:r>
              <w:rPr>
                <w:color w:val="auto"/>
              </w:rPr>
              <w:t>中</w:t>
            </w:r>
          </w:p>
        </w:tc>
        <w:tc>
          <w:tcPr>
            <w:tcW w:w="1236" w:type="dxa"/>
            <w:vAlign w:val="center"/>
          </w:tcPr>
          <w:p>
            <w:pPr>
              <w:pStyle w:val="58"/>
              <w:rPr>
                <w:color w:val="auto"/>
              </w:rPr>
            </w:pPr>
            <w:r>
              <w:rPr>
                <w:color w:val="auto"/>
              </w:rPr>
              <w:t>易</w:t>
            </w:r>
          </w:p>
        </w:tc>
        <w:tc>
          <w:tcPr>
            <w:tcW w:w="1699" w:type="dxa"/>
            <w:vMerge w:val="restart"/>
            <w:vAlign w:val="center"/>
          </w:tcPr>
          <w:p>
            <w:pPr>
              <w:pStyle w:val="58"/>
              <w:rPr>
                <w:color w:val="auto"/>
              </w:rPr>
            </w:pPr>
            <w:r>
              <w:rPr>
                <w:color w:val="auto"/>
              </w:rPr>
              <w:t>重金属、持久性有机物污染物</w:t>
            </w:r>
          </w:p>
        </w:tc>
        <w:tc>
          <w:tcPr>
            <w:tcW w:w="2771" w:type="dxa"/>
            <w:vMerge w:val="continue"/>
            <w:vAlign w:val="center"/>
          </w:tcPr>
          <w:p>
            <w:pPr>
              <w:pStyle w:val="58"/>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415" w:type="dxa"/>
            <w:vMerge w:val="continue"/>
            <w:vAlign w:val="center"/>
          </w:tcPr>
          <w:p>
            <w:pPr>
              <w:pStyle w:val="58"/>
              <w:rPr>
                <w:color w:val="auto"/>
              </w:rPr>
            </w:pPr>
          </w:p>
        </w:tc>
        <w:tc>
          <w:tcPr>
            <w:tcW w:w="1599" w:type="dxa"/>
            <w:vAlign w:val="center"/>
          </w:tcPr>
          <w:p>
            <w:pPr>
              <w:pStyle w:val="58"/>
              <w:rPr>
                <w:color w:val="auto"/>
              </w:rPr>
            </w:pPr>
            <w:r>
              <w:rPr>
                <w:color w:val="auto"/>
              </w:rPr>
              <w:t>强</w:t>
            </w:r>
          </w:p>
        </w:tc>
        <w:tc>
          <w:tcPr>
            <w:tcW w:w="1236" w:type="dxa"/>
            <w:vAlign w:val="center"/>
          </w:tcPr>
          <w:p>
            <w:pPr>
              <w:pStyle w:val="58"/>
              <w:rPr>
                <w:color w:val="auto"/>
              </w:rPr>
            </w:pPr>
            <w:r>
              <w:rPr>
                <w:color w:val="auto"/>
              </w:rPr>
              <w:t>易</w:t>
            </w:r>
          </w:p>
        </w:tc>
        <w:tc>
          <w:tcPr>
            <w:tcW w:w="1699" w:type="dxa"/>
            <w:vMerge w:val="continue"/>
            <w:vAlign w:val="center"/>
          </w:tcPr>
          <w:p>
            <w:pPr>
              <w:pStyle w:val="58"/>
              <w:rPr>
                <w:color w:val="auto"/>
              </w:rPr>
            </w:pPr>
          </w:p>
        </w:tc>
        <w:tc>
          <w:tcPr>
            <w:tcW w:w="2771" w:type="dxa"/>
            <w:vMerge w:val="continue"/>
            <w:vAlign w:val="center"/>
          </w:tcPr>
          <w:p>
            <w:pPr>
              <w:pStyle w:val="58"/>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415" w:type="dxa"/>
            <w:vAlign w:val="center"/>
          </w:tcPr>
          <w:p>
            <w:pPr>
              <w:pStyle w:val="58"/>
              <w:rPr>
                <w:color w:val="auto"/>
              </w:rPr>
            </w:pPr>
            <w:r>
              <w:rPr>
                <w:color w:val="auto"/>
              </w:rPr>
              <w:t>简单防渗区</w:t>
            </w:r>
          </w:p>
        </w:tc>
        <w:tc>
          <w:tcPr>
            <w:tcW w:w="1599" w:type="dxa"/>
            <w:vAlign w:val="center"/>
          </w:tcPr>
          <w:p>
            <w:pPr>
              <w:pStyle w:val="58"/>
              <w:rPr>
                <w:color w:val="auto"/>
              </w:rPr>
            </w:pPr>
            <w:r>
              <w:rPr>
                <w:color w:val="auto"/>
              </w:rPr>
              <w:t>中-强</w:t>
            </w:r>
          </w:p>
        </w:tc>
        <w:tc>
          <w:tcPr>
            <w:tcW w:w="1236" w:type="dxa"/>
            <w:vAlign w:val="center"/>
          </w:tcPr>
          <w:p>
            <w:pPr>
              <w:pStyle w:val="58"/>
              <w:rPr>
                <w:color w:val="auto"/>
              </w:rPr>
            </w:pPr>
            <w:r>
              <w:rPr>
                <w:color w:val="auto"/>
              </w:rPr>
              <w:t>易</w:t>
            </w:r>
          </w:p>
        </w:tc>
        <w:tc>
          <w:tcPr>
            <w:tcW w:w="1699" w:type="dxa"/>
            <w:vAlign w:val="center"/>
          </w:tcPr>
          <w:p>
            <w:pPr>
              <w:pStyle w:val="58"/>
              <w:rPr>
                <w:color w:val="auto"/>
              </w:rPr>
            </w:pPr>
            <w:r>
              <w:rPr>
                <w:color w:val="auto"/>
              </w:rPr>
              <w:t>其他类型</w:t>
            </w:r>
          </w:p>
        </w:tc>
        <w:tc>
          <w:tcPr>
            <w:tcW w:w="2771" w:type="dxa"/>
            <w:vAlign w:val="center"/>
          </w:tcPr>
          <w:p>
            <w:pPr>
              <w:pStyle w:val="58"/>
              <w:rPr>
                <w:color w:val="auto"/>
              </w:rPr>
            </w:pPr>
            <w:r>
              <w:rPr>
                <w:color w:val="auto"/>
              </w:rPr>
              <w:t>一般地面硬化</w:t>
            </w:r>
          </w:p>
        </w:tc>
      </w:tr>
    </w:tbl>
    <w:p>
      <w:pPr>
        <w:pStyle w:val="24"/>
        <w:ind w:firstLine="480"/>
        <w:jc w:val="both"/>
        <w:rPr>
          <w:color w:val="auto"/>
        </w:rPr>
      </w:pPr>
      <w:r>
        <w:rPr>
          <w:rFonts w:hint="eastAsia"/>
          <w:color w:val="auto"/>
        </w:rPr>
        <w:t>本项目</w:t>
      </w:r>
      <w:r>
        <w:rPr>
          <w:rFonts w:hint="eastAsia"/>
          <w:bCs/>
          <w:color w:val="auto"/>
        </w:rPr>
        <w:t>地下水</w:t>
      </w:r>
      <w:r>
        <w:rPr>
          <w:bCs/>
          <w:color w:val="auto"/>
        </w:rPr>
        <w:t>分区防渗</w:t>
      </w:r>
      <w:r>
        <w:rPr>
          <w:rFonts w:hint="eastAsia"/>
          <w:bCs/>
          <w:color w:val="auto"/>
        </w:rPr>
        <w:t>情况</w:t>
      </w:r>
      <w:r>
        <w:rPr>
          <w:color w:val="auto"/>
        </w:rPr>
        <w:t>见表5.5</w:t>
      </w:r>
      <w:r>
        <w:rPr>
          <w:rFonts w:hint="eastAsia"/>
          <w:color w:val="auto"/>
        </w:rPr>
        <w:t>-4。</w:t>
      </w:r>
    </w:p>
    <w:p>
      <w:pPr>
        <w:spacing w:line="480" w:lineRule="exact"/>
        <w:ind w:firstLine="480" w:firstLineChars="200"/>
        <w:rPr>
          <w:rFonts w:ascii="Times New Roman" w:hAnsi="Times New Roman" w:eastAsia="黑体" w:cs="Times New Roman"/>
          <w:sz w:val="24"/>
        </w:rPr>
      </w:pPr>
      <w:r>
        <w:rPr>
          <w:rFonts w:hint="eastAsia" w:ascii="Times New Roman" w:hAnsi="Times New Roman" w:eastAsia="黑体" w:cs="Times New Roman"/>
          <w:sz w:val="24"/>
        </w:rPr>
        <w:t>表</w:t>
      </w:r>
      <w:r>
        <w:rPr>
          <w:rFonts w:ascii="Times New Roman" w:hAnsi="Times New Roman" w:eastAsia="黑体" w:cs="Times New Roman"/>
          <w:sz w:val="24"/>
        </w:rPr>
        <w:t>5</w:t>
      </w:r>
      <w:r>
        <w:rPr>
          <w:rFonts w:hint="eastAsia" w:ascii="Times New Roman" w:hAnsi="Times New Roman" w:eastAsia="黑体" w:cs="Times New Roman"/>
          <w:sz w:val="24"/>
        </w:rPr>
        <w:t>.</w:t>
      </w:r>
      <w:r>
        <w:rPr>
          <w:rFonts w:ascii="Times New Roman" w:hAnsi="Times New Roman" w:eastAsia="黑体" w:cs="Times New Roman"/>
          <w:sz w:val="24"/>
        </w:rPr>
        <w:t>5-</w:t>
      </w:r>
      <w:r>
        <w:rPr>
          <w:rFonts w:hint="eastAsia" w:ascii="Times New Roman" w:hAnsi="Times New Roman" w:eastAsia="黑体" w:cs="Times New Roman"/>
          <w:sz w:val="24"/>
        </w:rPr>
        <w:t>4                 项目防渗区划分一览表</w:t>
      </w:r>
    </w:p>
    <w:tbl>
      <w:tblPr>
        <w:tblStyle w:val="1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
        <w:gridCol w:w="1191"/>
        <w:gridCol w:w="1843"/>
        <w:gridCol w:w="184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35" w:type="dxa"/>
            <w:shd w:val="clear" w:color="auto" w:fill="auto"/>
            <w:vAlign w:val="center"/>
          </w:tcPr>
          <w:p>
            <w:pPr>
              <w:pStyle w:val="47"/>
            </w:pPr>
            <w:r>
              <w:t>序号</w:t>
            </w:r>
          </w:p>
        </w:tc>
        <w:tc>
          <w:tcPr>
            <w:tcW w:w="1191" w:type="dxa"/>
            <w:shd w:val="clear" w:color="auto" w:fill="auto"/>
            <w:vAlign w:val="center"/>
          </w:tcPr>
          <w:p>
            <w:pPr>
              <w:pStyle w:val="47"/>
            </w:pPr>
            <w:r>
              <w:t>分区类别</w:t>
            </w:r>
          </w:p>
        </w:tc>
        <w:tc>
          <w:tcPr>
            <w:tcW w:w="1843" w:type="dxa"/>
            <w:shd w:val="clear" w:color="auto" w:fill="auto"/>
            <w:vAlign w:val="center"/>
          </w:tcPr>
          <w:p>
            <w:pPr>
              <w:pStyle w:val="47"/>
            </w:pPr>
            <w:r>
              <w:t>名称</w:t>
            </w:r>
          </w:p>
        </w:tc>
        <w:tc>
          <w:tcPr>
            <w:tcW w:w="1842" w:type="dxa"/>
            <w:shd w:val="clear" w:color="auto" w:fill="auto"/>
            <w:vAlign w:val="center"/>
          </w:tcPr>
          <w:p>
            <w:pPr>
              <w:pStyle w:val="47"/>
            </w:pPr>
            <w:r>
              <w:t>防渗区域</w:t>
            </w:r>
          </w:p>
        </w:tc>
        <w:tc>
          <w:tcPr>
            <w:tcW w:w="3402" w:type="dxa"/>
            <w:shd w:val="clear" w:color="auto" w:fill="auto"/>
            <w:vAlign w:val="center"/>
          </w:tcPr>
          <w:p>
            <w:pPr>
              <w:pStyle w:val="47"/>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35" w:type="dxa"/>
            <w:shd w:val="clear" w:color="auto" w:fill="auto"/>
            <w:vAlign w:val="center"/>
          </w:tcPr>
          <w:p>
            <w:pPr>
              <w:pStyle w:val="47"/>
            </w:pPr>
            <w:r>
              <w:t>1</w:t>
            </w:r>
          </w:p>
        </w:tc>
        <w:tc>
          <w:tcPr>
            <w:tcW w:w="1191" w:type="dxa"/>
            <w:vMerge w:val="restart"/>
            <w:shd w:val="clear" w:color="auto" w:fill="auto"/>
            <w:vAlign w:val="center"/>
          </w:tcPr>
          <w:p>
            <w:pPr>
              <w:pStyle w:val="47"/>
            </w:pPr>
            <w:r>
              <w:t>重点防渗区</w:t>
            </w:r>
          </w:p>
        </w:tc>
        <w:tc>
          <w:tcPr>
            <w:tcW w:w="1843" w:type="dxa"/>
            <w:shd w:val="clear" w:color="auto" w:fill="auto"/>
            <w:vAlign w:val="center"/>
          </w:tcPr>
          <w:p>
            <w:pPr>
              <w:pStyle w:val="47"/>
            </w:pPr>
            <w:r>
              <w:t>储罐区、装卸区</w:t>
            </w:r>
          </w:p>
        </w:tc>
        <w:tc>
          <w:tcPr>
            <w:tcW w:w="1842" w:type="dxa"/>
            <w:shd w:val="clear" w:color="auto" w:fill="auto"/>
            <w:vAlign w:val="center"/>
          </w:tcPr>
          <w:p>
            <w:pPr>
              <w:pStyle w:val="47"/>
            </w:pPr>
            <w:r>
              <w:t>地面</w:t>
            </w:r>
          </w:p>
        </w:tc>
        <w:tc>
          <w:tcPr>
            <w:tcW w:w="3402" w:type="dxa"/>
            <w:vMerge w:val="restart"/>
            <w:shd w:val="clear" w:color="auto" w:fill="auto"/>
            <w:vAlign w:val="center"/>
          </w:tcPr>
          <w:p>
            <w:pPr>
              <w:pStyle w:val="47"/>
              <w:jc w:val="left"/>
            </w:pPr>
            <w:r>
              <w:t>对照《石油化工工程防渗技术规范》（GB/T50934-2013），建立防渗层、进行防渗、防腐处理，地面硬化，防渗性能与6.0m厚粘土层（渗透系数1.0×10</w:t>
            </w:r>
            <w:r>
              <w:rPr>
                <w:vertAlign w:val="superscript"/>
              </w:rPr>
              <w:t>-7</w:t>
            </w:r>
            <w:r>
              <w:t>cm/s）等效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35" w:type="dxa"/>
            <w:shd w:val="clear" w:color="auto" w:fill="auto"/>
            <w:vAlign w:val="center"/>
          </w:tcPr>
          <w:p>
            <w:pPr>
              <w:pStyle w:val="47"/>
            </w:pPr>
            <w:r>
              <w:t>2</w:t>
            </w:r>
          </w:p>
        </w:tc>
        <w:tc>
          <w:tcPr>
            <w:tcW w:w="1191" w:type="dxa"/>
            <w:vMerge w:val="continue"/>
            <w:shd w:val="clear" w:color="auto" w:fill="auto"/>
            <w:vAlign w:val="center"/>
          </w:tcPr>
          <w:p>
            <w:pPr>
              <w:pStyle w:val="47"/>
            </w:pPr>
          </w:p>
        </w:tc>
        <w:tc>
          <w:tcPr>
            <w:tcW w:w="1843" w:type="dxa"/>
            <w:shd w:val="clear" w:color="auto" w:fill="auto"/>
            <w:vAlign w:val="center"/>
          </w:tcPr>
          <w:p>
            <w:pPr>
              <w:pStyle w:val="47"/>
            </w:pPr>
            <w:r>
              <w:t>生产车间</w:t>
            </w:r>
          </w:p>
        </w:tc>
        <w:tc>
          <w:tcPr>
            <w:tcW w:w="1842" w:type="dxa"/>
            <w:shd w:val="clear" w:color="auto" w:fill="auto"/>
            <w:vAlign w:val="center"/>
          </w:tcPr>
          <w:p>
            <w:pPr>
              <w:pStyle w:val="47"/>
            </w:pPr>
            <w:r>
              <w:t>地面</w:t>
            </w:r>
          </w:p>
        </w:tc>
        <w:tc>
          <w:tcPr>
            <w:tcW w:w="3402" w:type="dxa"/>
            <w:vMerge w:val="continue"/>
            <w:shd w:val="clear" w:color="auto" w:fill="auto"/>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35" w:type="dxa"/>
            <w:shd w:val="clear" w:color="auto" w:fill="auto"/>
            <w:vAlign w:val="center"/>
          </w:tcPr>
          <w:p>
            <w:pPr>
              <w:pStyle w:val="47"/>
            </w:pPr>
            <w:r>
              <w:t>3</w:t>
            </w:r>
          </w:p>
        </w:tc>
        <w:tc>
          <w:tcPr>
            <w:tcW w:w="1191" w:type="dxa"/>
            <w:vMerge w:val="continue"/>
            <w:shd w:val="clear" w:color="auto" w:fill="auto"/>
            <w:vAlign w:val="center"/>
          </w:tcPr>
          <w:p>
            <w:pPr>
              <w:pStyle w:val="47"/>
            </w:pPr>
          </w:p>
        </w:tc>
        <w:tc>
          <w:tcPr>
            <w:tcW w:w="1843" w:type="dxa"/>
            <w:shd w:val="clear" w:color="auto" w:fill="auto"/>
            <w:vAlign w:val="center"/>
          </w:tcPr>
          <w:p>
            <w:pPr>
              <w:pStyle w:val="47"/>
            </w:pPr>
            <w:r>
              <w:t>污水处理站</w:t>
            </w:r>
          </w:p>
        </w:tc>
        <w:tc>
          <w:tcPr>
            <w:tcW w:w="1842" w:type="dxa"/>
            <w:shd w:val="clear" w:color="auto" w:fill="auto"/>
            <w:vAlign w:val="center"/>
          </w:tcPr>
          <w:p>
            <w:pPr>
              <w:pStyle w:val="47"/>
            </w:pPr>
            <w:r>
              <w:t>地面、池底、池壁</w:t>
            </w:r>
          </w:p>
        </w:tc>
        <w:tc>
          <w:tcPr>
            <w:tcW w:w="3402" w:type="dxa"/>
            <w:vMerge w:val="continue"/>
            <w:shd w:val="clear" w:color="auto" w:fill="auto"/>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35" w:type="dxa"/>
            <w:shd w:val="clear" w:color="auto" w:fill="auto"/>
            <w:vAlign w:val="center"/>
          </w:tcPr>
          <w:p>
            <w:pPr>
              <w:pStyle w:val="47"/>
            </w:pPr>
            <w:r>
              <w:t>4</w:t>
            </w:r>
          </w:p>
        </w:tc>
        <w:tc>
          <w:tcPr>
            <w:tcW w:w="1191" w:type="dxa"/>
            <w:vMerge w:val="continue"/>
            <w:shd w:val="clear" w:color="auto" w:fill="auto"/>
            <w:vAlign w:val="center"/>
          </w:tcPr>
          <w:p>
            <w:pPr>
              <w:pStyle w:val="47"/>
            </w:pPr>
          </w:p>
        </w:tc>
        <w:tc>
          <w:tcPr>
            <w:tcW w:w="1843" w:type="dxa"/>
            <w:shd w:val="clear" w:color="auto" w:fill="auto"/>
            <w:vAlign w:val="center"/>
          </w:tcPr>
          <w:p>
            <w:pPr>
              <w:pStyle w:val="47"/>
            </w:pPr>
            <w:r>
              <w:t>事故池</w:t>
            </w:r>
          </w:p>
        </w:tc>
        <w:tc>
          <w:tcPr>
            <w:tcW w:w="1842" w:type="dxa"/>
            <w:shd w:val="clear" w:color="auto" w:fill="auto"/>
            <w:vAlign w:val="center"/>
          </w:tcPr>
          <w:p>
            <w:pPr>
              <w:pStyle w:val="47"/>
            </w:pPr>
            <w:r>
              <w:t>池底、池壁</w:t>
            </w:r>
          </w:p>
        </w:tc>
        <w:tc>
          <w:tcPr>
            <w:tcW w:w="3402" w:type="dxa"/>
            <w:vMerge w:val="continue"/>
            <w:shd w:val="clear" w:color="auto" w:fill="auto"/>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35" w:type="dxa"/>
            <w:shd w:val="clear" w:color="auto" w:fill="auto"/>
            <w:vAlign w:val="center"/>
          </w:tcPr>
          <w:p>
            <w:pPr>
              <w:pStyle w:val="47"/>
            </w:pPr>
            <w:r>
              <w:t>5</w:t>
            </w:r>
          </w:p>
        </w:tc>
        <w:tc>
          <w:tcPr>
            <w:tcW w:w="1191" w:type="dxa"/>
            <w:vMerge w:val="continue"/>
            <w:shd w:val="clear" w:color="auto" w:fill="auto"/>
            <w:vAlign w:val="center"/>
          </w:tcPr>
          <w:p>
            <w:pPr>
              <w:pStyle w:val="47"/>
            </w:pPr>
          </w:p>
        </w:tc>
        <w:tc>
          <w:tcPr>
            <w:tcW w:w="1843" w:type="dxa"/>
            <w:shd w:val="clear" w:color="auto" w:fill="auto"/>
            <w:vAlign w:val="center"/>
          </w:tcPr>
          <w:p>
            <w:pPr>
              <w:pStyle w:val="47"/>
            </w:pPr>
            <w:r>
              <w:t>污水管线等</w:t>
            </w:r>
          </w:p>
        </w:tc>
        <w:tc>
          <w:tcPr>
            <w:tcW w:w="1842" w:type="dxa"/>
            <w:shd w:val="clear" w:color="auto" w:fill="auto"/>
            <w:vAlign w:val="center"/>
          </w:tcPr>
          <w:p>
            <w:pPr>
              <w:pStyle w:val="47"/>
            </w:pPr>
            <w:r>
              <w:t>管壁及四周土壤</w:t>
            </w:r>
          </w:p>
        </w:tc>
        <w:tc>
          <w:tcPr>
            <w:tcW w:w="3402" w:type="dxa"/>
            <w:vMerge w:val="continue"/>
            <w:shd w:val="clear" w:color="auto" w:fill="auto"/>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35" w:type="dxa"/>
            <w:shd w:val="clear" w:color="auto" w:fill="auto"/>
            <w:vAlign w:val="center"/>
          </w:tcPr>
          <w:p>
            <w:pPr>
              <w:pStyle w:val="47"/>
            </w:pPr>
            <w:r>
              <w:t>6</w:t>
            </w:r>
          </w:p>
        </w:tc>
        <w:tc>
          <w:tcPr>
            <w:tcW w:w="1191" w:type="dxa"/>
            <w:vMerge w:val="continue"/>
            <w:shd w:val="clear" w:color="auto" w:fill="auto"/>
            <w:vAlign w:val="center"/>
          </w:tcPr>
          <w:p>
            <w:pPr>
              <w:pStyle w:val="47"/>
            </w:pPr>
          </w:p>
        </w:tc>
        <w:tc>
          <w:tcPr>
            <w:tcW w:w="1843" w:type="dxa"/>
            <w:shd w:val="clear" w:color="auto" w:fill="auto"/>
            <w:vAlign w:val="center"/>
          </w:tcPr>
          <w:p>
            <w:pPr>
              <w:pStyle w:val="47"/>
            </w:pPr>
            <w:r>
              <w:t>危废暂存间</w:t>
            </w:r>
          </w:p>
        </w:tc>
        <w:tc>
          <w:tcPr>
            <w:tcW w:w="1842" w:type="dxa"/>
            <w:shd w:val="clear" w:color="auto" w:fill="auto"/>
            <w:vAlign w:val="center"/>
          </w:tcPr>
          <w:p>
            <w:pPr>
              <w:pStyle w:val="47"/>
            </w:pPr>
            <w:r>
              <w:t>地面</w:t>
            </w:r>
          </w:p>
        </w:tc>
        <w:tc>
          <w:tcPr>
            <w:tcW w:w="3402" w:type="dxa"/>
            <w:vMerge w:val="continue"/>
            <w:shd w:val="clear" w:color="auto" w:fill="auto"/>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35" w:type="dxa"/>
            <w:vMerge w:val="restart"/>
            <w:shd w:val="clear" w:color="auto" w:fill="auto"/>
            <w:vAlign w:val="center"/>
          </w:tcPr>
          <w:p>
            <w:pPr>
              <w:pStyle w:val="47"/>
            </w:pPr>
            <w:r>
              <w:t>7</w:t>
            </w:r>
          </w:p>
        </w:tc>
        <w:tc>
          <w:tcPr>
            <w:tcW w:w="1191" w:type="dxa"/>
            <w:vMerge w:val="restart"/>
            <w:shd w:val="clear" w:color="auto" w:fill="auto"/>
            <w:vAlign w:val="center"/>
          </w:tcPr>
          <w:p>
            <w:pPr>
              <w:pStyle w:val="47"/>
            </w:pPr>
            <w:r>
              <w:t>一般防渗区</w:t>
            </w:r>
          </w:p>
        </w:tc>
        <w:tc>
          <w:tcPr>
            <w:tcW w:w="1843" w:type="dxa"/>
            <w:shd w:val="clear" w:color="auto" w:fill="auto"/>
            <w:vAlign w:val="center"/>
          </w:tcPr>
          <w:p>
            <w:pPr>
              <w:pStyle w:val="47"/>
            </w:pPr>
            <w:r>
              <w:t>厂区路面</w:t>
            </w:r>
          </w:p>
        </w:tc>
        <w:tc>
          <w:tcPr>
            <w:tcW w:w="1842" w:type="dxa"/>
            <w:shd w:val="clear" w:color="auto" w:fill="auto"/>
            <w:vAlign w:val="center"/>
          </w:tcPr>
          <w:p>
            <w:pPr>
              <w:pStyle w:val="47"/>
            </w:pPr>
            <w:r>
              <w:t>地面</w:t>
            </w:r>
          </w:p>
        </w:tc>
        <w:tc>
          <w:tcPr>
            <w:tcW w:w="3402" w:type="dxa"/>
            <w:vMerge w:val="restart"/>
            <w:shd w:val="clear" w:color="auto" w:fill="auto"/>
            <w:vAlign w:val="center"/>
          </w:tcPr>
          <w:p>
            <w:pPr>
              <w:pStyle w:val="47"/>
              <w:jc w:val="left"/>
            </w:pPr>
            <w:r>
              <w:t>对照《石油化工工程防渗技术规范》（GB/T50934-2013），建立防渗层，硬化的水泥路面，防渗性能与1.5m厚粘土层（渗透系数1.0×10</w:t>
            </w:r>
            <w:r>
              <w:rPr>
                <w:vertAlign w:val="superscript"/>
              </w:rPr>
              <w:t>-7</w:t>
            </w:r>
            <w:r>
              <w:t>cm/s）等效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35" w:type="dxa"/>
            <w:vMerge w:val="continue"/>
            <w:shd w:val="clear" w:color="auto" w:fill="auto"/>
            <w:vAlign w:val="center"/>
          </w:tcPr>
          <w:p>
            <w:pPr>
              <w:pStyle w:val="47"/>
            </w:pPr>
          </w:p>
        </w:tc>
        <w:tc>
          <w:tcPr>
            <w:tcW w:w="1191" w:type="dxa"/>
            <w:vMerge w:val="continue"/>
            <w:shd w:val="clear" w:color="auto" w:fill="auto"/>
            <w:vAlign w:val="center"/>
          </w:tcPr>
          <w:p>
            <w:pPr>
              <w:pStyle w:val="47"/>
            </w:pPr>
          </w:p>
        </w:tc>
        <w:tc>
          <w:tcPr>
            <w:tcW w:w="1843" w:type="dxa"/>
            <w:shd w:val="clear" w:color="auto" w:fill="auto"/>
            <w:vAlign w:val="center"/>
          </w:tcPr>
          <w:p>
            <w:pPr>
              <w:pStyle w:val="47"/>
            </w:pPr>
            <w:r>
              <w:t>化验室</w:t>
            </w:r>
          </w:p>
        </w:tc>
        <w:tc>
          <w:tcPr>
            <w:tcW w:w="1842" w:type="dxa"/>
            <w:shd w:val="clear" w:color="auto" w:fill="auto"/>
            <w:vAlign w:val="center"/>
          </w:tcPr>
          <w:p>
            <w:pPr>
              <w:pStyle w:val="47"/>
            </w:pPr>
            <w:r>
              <w:t>地面</w:t>
            </w:r>
          </w:p>
        </w:tc>
        <w:tc>
          <w:tcPr>
            <w:tcW w:w="3402" w:type="dxa"/>
            <w:vMerge w:val="continue"/>
            <w:shd w:val="clear" w:color="auto" w:fill="auto"/>
            <w:vAlign w:val="center"/>
          </w:tcPr>
          <w:p>
            <w:pPr>
              <w:pStyle w:val="4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35" w:type="dxa"/>
            <w:vMerge w:val="continue"/>
            <w:shd w:val="clear" w:color="auto" w:fill="auto"/>
            <w:vAlign w:val="center"/>
          </w:tcPr>
          <w:p>
            <w:pPr>
              <w:pStyle w:val="47"/>
            </w:pPr>
          </w:p>
        </w:tc>
        <w:tc>
          <w:tcPr>
            <w:tcW w:w="1191" w:type="dxa"/>
            <w:vMerge w:val="continue"/>
            <w:shd w:val="clear" w:color="auto" w:fill="auto"/>
            <w:vAlign w:val="center"/>
          </w:tcPr>
          <w:p>
            <w:pPr>
              <w:pStyle w:val="47"/>
            </w:pPr>
          </w:p>
        </w:tc>
        <w:tc>
          <w:tcPr>
            <w:tcW w:w="1843" w:type="dxa"/>
            <w:shd w:val="clear" w:color="auto" w:fill="auto"/>
            <w:vAlign w:val="center"/>
          </w:tcPr>
          <w:p>
            <w:pPr>
              <w:pStyle w:val="47"/>
            </w:pPr>
            <w:r>
              <w:t>消防水池</w:t>
            </w:r>
          </w:p>
        </w:tc>
        <w:tc>
          <w:tcPr>
            <w:tcW w:w="1842" w:type="dxa"/>
            <w:shd w:val="clear" w:color="auto" w:fill="auto"/>
            <w:vAlign w:val="center"/>
          </w:tcPr>
          <w:p>
            <w:pPr>
              <w:pStyle w:val="47"/>
            </w:pPr>
            <w:r>
              <w:t>池底、池壁</w:t>
            </w:r>
          </w:p>
        </w:tc>
        <w:tc>
          <w:tcPr>
            <w:tcW w:w="3402" w:type="dxa"/>
            <w:vMerge w:val="continue"/>
            <w:shd w:val="clear" w:color="auto" w:fill="auto"/>
            <w:vAlign w:val="center"/>
          </w:tcPr>
          <w:p>
            <w:pPr>
              <w:pStyle w:val="47"/>
            </w:pPr>
          </w:p>
        </w:tc>
      </w:tr>
    </w:tbl>
    <w:p>
      <w:pPr>
        <w:spacing w:before="80" w:after="80" w:line="520" w:lineRule="exact"/>
        <w:outlineLvl w:val="2"/>
      </w:pPr>
      <w:bookmarkStart w:id="106" w:name="_Toc8391582"/>
      <w:bookmarkStart w:id="107" w:name="_Toc512973656"/>
      <w:r>
        <w:rPr>
          <w:rFonts w:ascii="Times New Roman" w:hAnsi="Times New Roman" w:eastAsia="楷体" w:cs="Times New Roman"/>
          <w:sz w:val="28"/>
          <w:szCs w:val="28"/>
        </w:rPr>
        <w:t>5</w:t>
      </w:r>
      <w:r>
        <w:rPr>
          <w:rFonts w:hint="eastAsia" w:ascii="Times New Roman" w:hAnsi="Times New Roman" w:eastAsia="楷体" w:cs="Times New Roman"/>
          <w:sz w:val="28"/>
          <w:szCs w:val="28"/>
        </w:rPr>
        <w:t>.</w:t>
      </w:r>
      <w:r>
        <w:rPr>
          <w:rFonts w:ascii="Times New Roman" w:hAnsi="Times New Roman" w:eastAsia="楷体" w:cs="Times New Roman"/>
          <w:sz w:val="28"/>
          <w:szCs w:val="28"/>
        </w:rPr>
        <w:t>5</w:t>
      </w:r>
      <w:r>
        <w:rPr>
          <w:rFonts w:hint="eastAsia" w:ascii="Times New Roman" w:hAnsi="Times New Roman" w:eastAsia="楷体" w:cs="Times New Roman"/>
          <w:sz w:val="28"/>
          <w:szCs w:val="28"/>
        </w:rPr>
        <w:t>.2地下水跟踪监测计划</w:t>
      </w:r>
      <w:bookmarkEnd w:id="106"/>
      <w:bookmarkEnd w:id="107"/>
    </w:p>
    <w:p>
      <w:pPr>
        <w:pStyle w:val="59"/>
        <w:spacing w:line="480" w:lineRule="exact"/>
        <w:ind w:firstLine="480"/>
        <w:rPr>
          <w:kern w:val="2"/>
          <w:szCs w:val="24"/>
          <w:lang w:val="en-US"/>
        </w:rPr>
      </w:pPr>
      <w:r>
        <w:rPr>
          <w:rFonts w:hint="eastAsia"/>
          <w:kern w:val="2"/>
          <w:szCs w:val="24"/>
          <w:lang w:val="en-US"/>
        </w:rPr>
        <w:t>为了及时准确地掌握本项目厂区及下游地下水环境质量状况和地下水体中污染物的动态变化，本项目建立覆盖全区的地下水长期监控系统，包括科学、合理地设置地下水污染监控井，建立完善的监测制度，配备检测仪器和设备，以便及时发现并及时控制。</w:t>
      </w:r>
    </w:p>
    <w:p>
      <w:pPr>
        <w:pStyle w:val="59"/>
        <w:spacing w:line="480" w:lineRule="exact"/>
        <w:ind w:firstLine="480"/>
        <w:rPr>
          <w:kern w:val="2"/>
          <w:szCs w:val="24"/>
          <w:lang w:val="en-US"/>
        </w:rPr>
      </w:pPr>
      <w:r>
        <w:rPr>
          <w:rFonts w:hint="eastAsia"/>
          <w:kern w:val="2"/>
          <w:szCs w:val="24"/>
          <w:lang w:val="en-US"/>
        </w:rPr>
        <w:t>目前尚没有针对建设项目地下水环境监测的法律法规或规程规范，本项目地下水环境监测主要参考《地下水环境监测技术规范》（</w:t>
      </w:r>
      <w:r>
        <w:rPr>
          <w:kern w:val="2"/>
          <w:szCs w:val="24"/>
          <w:lang w:val="en-US"/>
        </w:rPr>
        <w:t>HJ/T164-2004</w:t>
      </w:r>
      <w:r>
        <w:rPr>
          <w:rFonts w:hint="eastAsia"/>
          <w:kern w:val="2"/>
          <w:szCs w:val="24"/>
          <w:lang w:val="en-US"/>
        </w:rPr>
        <w:t>），结合研究区含水层系统和地下水径流系统特征，考虑潜在污染源、环境保护目标等因素，布置地下水监测点。</w:t>
      </w:r>
    </w:p>
    <w:p>
      <w:pPr>
        <w:pStyle w:val="24"/>
        <w:ind w:firstLine="480"/>
        <w:jc w:val="both"/>
        <w:rPr>
          <w:color w:val="auto"/>
        </w:rPr>
      </w:pPr>
      <w:r>
        <w:rPr>
          <w:rFonts w:hint="eastAsia"/>
          <w:color w:val="auto"/>
        </w:rPr>
        <w:t>通过地下水污染监控的在线监测井、水质监测井监测数据及反馈启动应急处置方案，及时发现地下水污染事故及其影响范围和程度，为启动地下水应急措施提供信息保障。</w:t>
      </w:r>
    </w:p>
    <w:p>
      <w:pPr>
        <w:pStyle w:val="33"/>
        <w:rPr>
          <w:color w:val="auto"/>
        </w:rPr>
      </w:pPr>
      <w:r>
        <w:rPr>
          <w:color w:val="auto"/>
        </w:rPr>
        <w:t>5</w:t>
      </w:r>
      <w:r>
        <w:rPr>
          <w:rFonts w:hint="eastAsia"/>
          <w:color w:val="auto"/>
        </w:rPr>
        <w:t>.</w:t>
      </w:r>
      <w:r>
        <w:rPr>
          <w:color w:val="auto"/>
        </w:rPr>
        <w:t>5</w:t>
      </w:r>
      <w:r>
        <w:rPr>
          <w:rFonts w:hint="eastAsia"/>
          <w:color w:val="auto"/>
        </w:rPr>
        <w:t>.2.1监测井布置</w:t>
      </w:r>
    </w:p>
    <w:p>
      <w:pPr>
        <w:pStyle w:val="59"/>
        <w:spacing w:line="480" w:lineRule="exact"/>
        <w:ind w:firstLine="480"/>
        <w:jc w:val="left"/>
        <w:rPr>
          <w:kern w:val="2"/>
          <w:szCs w:val="24"/>
          <w:lang w:val="en-US"/>
        </w:rPr>
      </w:pPr>
      <w:r>
        <w:rPr>
          <w:rFonts w:hint="eastAsia"/>
          <w:kern w:val="2"/>
          <w:szCs w:val="24"/>
          <w:lang w:val="en-US"/>
        </w:rPr>
        <w:t>依据地下水监测原则，结合本项目区水文地质条件、项目特征和</w:t>
      </w:r>
      <w:r>
        <w:rPr>
          <w:kern w:val="2"/>
          <w:szCs w:val="24"/>
          <w:lang w:val="en-US"/>
        </w:rPr>
        <w:t>地下水流向</w:t>
      </w:r>
      <w:r>
        <w:rPr>
          <w:rFonts w:hint="eastAsia"/>
          <w:kern w:val="2"/>
          <w:szCs w:val="24"/>
          <w:lang w:val="en-US"/>
        </w:rPr>
        <w:t>，在本项目厂区布设地下水水质监测井2眼。</w:t>
      </w:r>
      <w:r>
        <w:rPr>
          <w:kern w:val="2"/>
          <w:szCs w:val="24"/>
          <w:lang w:val="en-US"/>
        </w:rPr>
        <w:t>监测层位</w:t>
      </w:r>
      <w:r>
        <w:rPr>
          <w:rFonts w:hint="eastAsia"/>
          <w:kern w:val="2"/>
          <w:szCs w:val="24"/>
          <w:lang w:val="en-US"/>
        </w:rPr>
        <w:t>为潜水层，</w:t>
      </w:r>
      <w:r>
        <w:rPr>
          <w:kern w:val="2"/>
          <w:szCs w:val="24"/>
          <w:lang w:val="en-US"/>
        </w:rPr>
        <w:t>监测频率</w:t>
      </w:r>
      <w:r>
        <w:rPr>
          <w:rFonts w:hint="eastAsia"/>
          <w:kern w:val="2"/>
          <w:szCs w:val="24"/>
          <w:lang w:val="en-US"/>
        </w:rPr>
        <w:t>为一季度或半年一次，主要监测因子为</w:t>
      </w:r>
      <w:r>
        <w:rPr>
          <w:kern w:val="2"/>
          <w:szCs w:val="24"/>
          <w:lang w:val="en-US"/>
        </w:rPr>
        <w:t>pH、高锰酸盐指数、氟化物、总硬度、</w:t>
      </w:r>
      <w:r>
        <w:rPr>
          <w:rFonts w:hint="eastAsia"/>
          <w:kern w:val="2"/>
          <w:szCs w:val="24"/>
          <w:lang w:val="en-US"/>
        </w:rPr>
        <w:t>硫化物</w:t>
      </w:r>
      <w:r>
        <w:rPr>
          <w:kern w:val="2"/>
          <w:szCs w:val="24"/>
          <w:lang w:val="en-US"/>
        </w:rPr>
        <w:t>、硫酸盐、挥发酚、氯化物</w:t>
      </w:r>
      <w:r>
        <w:rPr>
          <w:rFonts w:hint="eastAsia"/>
          <w:kern w:val="2"/>
          <w:szCs w:val="24"/>
          <w:lang w:val="en-US"/>
        </w:rPr>
        <w:t>、石油类等</w:t>
      </w:r>
      <w:r>
        <w:rPr>
          <w:rFonts w:hint="eastAsia"/>
          <w:szCs w:val="21"/>
        </w:rPr>
        <w:t>。</w:t>
      </w:r>
    </w:p>
    <w:p>
      <w:pPr>
        <w:pStyle w:val="33"/>
        <w:rPr>
          <w:color w:val="auto"/>
        </w:rPr>
      </w:pPr>
      <w:r>
        <w:rPr>
          <w:color w:val="auto"/>
        </w:rPr>
        <w:t>5</w:t>
      </w:r>
      <w:r>
        <w:rPr>
          <w:rFonts w:hint="eastAsia"/>
          <w:color w:val="auto"/>
        </w:rPr>
        <w:t>.</w:t>
      </w:r>
      <w:r>
        <w:rPr>
          <w:color w:val="auto"/>
        </w:rPr>
        <w:t>5</w:t>
      </w:r>
      <w:r>
        <w:rPr>
          <w:rFonts w:hint="eastAsia"/>
          <w:color w:val="auto"/>
        </w:rPr>
        <w:t>.2.2监测数据管理</w:t>
      </w:r>
    </w:p>
    <w:p>
      <w:pPr>
        <w:pStyle w:val="59"/>
        <w:spacing w:line="480" w:lineRule="exact"/>
        <w:ind w:firstLine="480"/>
        <w:rPr>
          <w:kern w:val="2"/>
          <w:szCs w:val="24"/>
          <w:lang w:val="en-US"/>
        </w:rPr>
      </w:pPr>
      <w:r>
        <w:rPr>
          <w:rFonts w:hint="eastAsia"/>
          <w:kern w:val="2"/>
          <w:szCs w:val="24"/>
          <w:lang w:val="en-US"/>
        </w:rPr>
        <w:t>地下水监测结果建设单位应按项目有关规定及时建立档案，并定期向厂安全环保部门汇报，对于常规监测数据应该进行公开。如发现异常或发生事故，加密监测频次，改为每周监测一次，并分析污染原因，确定泄露污染源，及时采取应急措施。</w:t>
      </w:r>
    </w:p>
    <w:p>
      <w:pPr>
        <w:pStyle w:val="33"/>
        <w:rPr>
          <w:color w:val="auto"/>
        </w:rPr>
      </w:pPr>
      <w:r>
        <w:rPr>
          <w:color w:val="auto"/>
        </w:rPr>
        <w:t>5</w:t>
      </w:r>
      <w:r>
        <w:rPr>
          <w:rFonts w:hint="eastAsia"/>
          <w:color w:val="auto"/>
        </w:rPr>
        <w:t>.</w:t>
      </w:r>
      <w:r>
        <w:rPr>
          <w:color w:val="auto"/>
        </w:rPr>
        <w:t>5</w:t>
      </w:r>
      <w:r>
        <w:rPr>
          <w:rFonts w:hint="eastAsia"/>
          <w:color w:val="auto"/>
        </w:rPr>
        <w:t>.2.3地下水</w:t>
      </w:r>
      <w:r>
        <w:rPr>
          <w:color w:val="auto"/>
        </w:rPr>
        <w:t>污染应急</w:t>
      </w:r>
      <w:r>
        <w:rPr>
          <w:rFonts w:hint="eastAsia"/>
          <w:color w:val="auto"/>
        </w:rPr>
        <w:t>措施</w:t>
      </w:r>
    </w:p>
    <w:p>
      <w:pPr>
        <w:pStyle w:val="59"/>
        <w:spacing w:line="480" w:lineRule="exact"/>
        <w:ind w:firstLine="480"/>
        <w:rPr>
          <w:kern w:val="2"/>
          <w:szCs w:val="24"/>
          <w:lang w:val="en-US"/>
        </w:rPr>
      </w:pPr>
      <w:r>
        <w:rPr>
          <w:rFonts w:hint="eastAsia"/>
          <w:kern w:val="2"/>
          <w:szCs w:val="24"/>
          <w:lang w:val="en-US"/>
        </w:rPr>
        <w:t>制定地下水应急管理程序如图</w:t>
      </w:r>
      <w:r>
        <w:rPr>
          <w:kern w:val="2"/>
          <w:szCs w:val="24"/>
          <w:lang w:val="en-US"/>
        </w:rPr>
        <w:t>5.5-1</w:t>
      </w:r>
      <w:r>
        <w:rPr>
          <w:rFonts w:hint="eastAsia"/>
          <w:kern w:val="2"/>
          <w:szCs w:val="24"/>
          <w:lang w:val="en-US"/>
        </w:rPr>
        <w:t>。</w:t>
      </w:r>
    </w:p>
    <w:p>
      <w:pPr>
        <w:pStyle w:val="59"/>
        <w:ind w:firstLine="0" w:firstLineChars="0"/>
        <w:jc w:val="center"/>
        <w:rPr>
          <w:kern w:val="44"/>
        </w:rPr>
      </w:pPr>
      <w:r>
        <w:rPr>
          <w:kern w:val="44"/>
          <w:lang w:val="en-US"/>
        </w:rPr>
        <w:drawing>
          <wp:inline distT="0" distB="0" distL="0" distR="0">
            <wp:extent cx="3525520" cy="4551680"/>
            <wp:effectExtent l="0" t="0" r="17780" b="1270"/>
            <wp:docPr id="540" name="图片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图片 540"/>
                    <pic:cNvPicPr>
                      <a:picLocks noChangeAspect="1" noChangeArrowheads="1"/>
                    </pic:cNvPicPr>
                  </pic:nvPicPr>
                  <pic:blipFill>
                    <a:blip r:embed="rId23" cstate="print"/>
                    <a:srcRect/>
                    <a:stretch>
                      <a:fillRect/>
                    </a:stretch>
                  </pic:blipFill>
                  <pic:spPr>
                    <a:xfrm>
                      <a:off x="0" y="0"/>
                      <a:ext cx="3550569" cy="4584101"/>
                    </a:xfrm>
                    <a:prstGeom prst="rect">
                      <a:avLst/>
                    </a:prstGeom>
                    <a:noFill/>
                    <a:ln w="9525">
                      <a:noFill/>
                      <a:miter lim="800000"/>
                      <a:headEnd/>
                      <a:tailEnd/>
                    </a:ln>
                  </pic:spPr>
                </pic:pic>
              </a:graphicData>
            </a:graphic>
          </wp:inline>
        </w:drawing>
      </w:r>
    </w:p>
    <w:p>
      <w:pPr>
        <w:jc w:val="center"/>
        <w:rPr>
          <w:rFonts w:ascii="Times New Roman" w:hAnsi="Times New Roman" w:eastAsia="黑体" w:cs="Times New Roman"/>
          <w:sz w:val="24"/>
          <w:szCs w:val="24"/>
        </w:rPr>
      </w:pPr>
      <w:r>
        <w:rPr>
          <w:rFonts w:ascii="Times New Roman" w:hAnsi="Times New Roman" w:eastAsia="黑体" w:cs="Times New Roman"/>
          <w:sz w:val="24"/>
          <w:szCs w:val="24"/>
        </w:rPr>
        <w:t>图5.5-1</w:t>
      </w:r>
      <w:r>
        <w:rPr>
          <w:rFonts w:hint="eastAsia" w:ascii="Times New Roman" w:hAnsi="Times New Roman" w:eastAsia="黑体" w:cs="Times New Roman"/>
          <w:sz w:val="24"/>
          <w:szCs w:val="24"/>
        </w:rPr>
        <w:t xml:space="preserve"> </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污染应急治理程序示意图</w:t>
      </w:r>
    </w:p>
    <w:p>
      <w:pPr>
        <w:pStyle w:val="59"/>
        <w:spacing w:line="480" w:lineRule="exact"/>
        <w:ind w:firstLine="480"/>
        <w:rPr>
          <w:szCs w:val="24"/>
        </w:rPr>
      </w:pPr>
      <w:r>
        <w:rPr>
          <w:szCs w:val="24"/>
        </w:rPr>
        <w:t>本项目场地发生污染事故时，污染物运移速度较慢，污染范围较小。因此，建议采取如下污染应急治理措施：</w:t>
      </w:r>
    </w:p>
    <w:p>
      <w:pPr>
        <w:pStyle w:val="59"/>
        <w:spacing w:line="480" w:lineRule="exact"/>
        <w:ind w:firstLine="480"/>
        <w:rPr>
          <w:szCs w:val="24"/>
        </w:rPr>
      </w:pPr>
      <w:r>
        <w:rPr>
          <w:rFonts w:hint="eastAsia" w:ascii="宋体" w:hAnsi="宋体" w:cs="宋体"/>
          <w:szCs w:val="24"/>
        </w:rPr>
        <w:t>①</w:t>
      </w:r>
      <w:r>
        <w:rPr>
          <w:szCs w:val="24"/>
        </w:rPr>
        <w:t>一旦发生地下水污染事故，应立即启动应急预案。</w:t>
      </w:r>
    </w:p>
    <w:p>
      <w:pPr>
        <w:pStyle w:val="59"/>
        <w:spacing w:line="480" w:lineRule="exact"/>
        <w:ind w:firstLine="480"/>
        <w:rPr>
          <w:szCs w:val="24"/>
        </w:rPr>
      </w:pPr>
      <w:r>
        <w:rPr>
          <w:rFonts w:hint="eastAsia" w:ascii="宋体" w:hAnsi="宋体" w:cs="宋体"/>
          <w:szCs w:val="24"/>
        </w:rPr>
        <w:t>②</w:t>
      </w:r>
      <w:r>
        <w:rPr>
          <w:szCs w:val="24"/>
        </w:rPr>
        <w:t>查明并切断污染源。</w:t>
      </w:r>
    </w:p>
    <w:p>
      <w:pPr>
        <w:pStyle w:val="59"/>
        <w:spacing w:line="480" w:lineRule="exact"/>
        <w:ind w:firstLine="480"/>
        <w:rPr>
          <w:szCs w:val="24"/>
        </w:rPr>
      </w:pPr>
      <w:r>
        <w:rPr>
          <w:rFonts w:hint="eastAsia" w:ascii="宋体" w:hAnsi="宋体" w:cs="宋体"/>
          <w:szCs w:val="24"/>
        </w:rPr>
        <w:t>③</w:t>
      </w:r>
      <w:r>
        <w:rPr>
          <w:szCs w:val="24"/>
        </w:rPr>
        <w:t>加密地下水污染监控井的监测频率，并实时进行化验分析。</w:t>
      </w:r>
    </w:p>
    <w:p>
      <w:pPr>
        <w:pStyle w:val="59"/>
        <w:spacing w:line="480" w:lineRule="exact"/>
        <w:ind w:firstLine="480"/>
        <w:rPr>
          <w:szCs w:val="24"/>
        </w:rPr>
      </w:pPr>
      <w:r>
        <w:rPr>
          <w:rFonts w:hint="eastAsia" w:ascii="宋体" w:hAnsi="宋体" w:cs="宋体"/>
          <w:szCs w:val="24"/>
        </w:rPr>
        <w:t>④</w:t>
      </w:r>
      <w:r>
        <w:rPr>
          <w:szCs w:val="24"/>
        </w:rPr>
        <w:t>一旦发现监控井地下水受到污染，立即启动抽水设施。</w:t>
      </w:r>
    </w:p>
    <w:p>
      <w:pPr>
        <w:pStyle w:val="59"/>
        <w:spacing w:line="480" w:lineRule="exact"/>
        <w:ind w:firstLine="480"/>
        <w:rPr>
          <w:szCs w:val="24"/>
        </w:rPr>
      </w:pPr>
      <w:r>
        <w:rPr>
          <w:rFonts w:hint="eastAsia" w:ascii="宋体" w:hAnsi="宋体" w:cs="宋体"/>
          <w:szCs w:val="24"/>
        </w:rPr>
        <w:t>⑤</w:t>
      </w:r>
      <w:r>
        <w:rPr>
          <w:szCs w:val="24"/>
        </w:rPr>
        <w:t>探明地下水污染深度、范围和污染程度。</w:t>
      </w:r>
    </w:p>
    <w:p>
      <w:pPr>
        <w:pStyle w:val="59"/>
        <w:spacing w:line="480" w:lineRule="exact"/>
        <w:ind w:firstLine="480"/>
        <w:rPr>
          <w:szCs w:val="24"/>
        </w:rPr>
      </w:pPr>
      <w:r>
        <w:rPr>
          <w:rFonts w:hint="eastAsia" w:ascii="宋体" w:hAnsi="宋体" w:cs="宋体"/>
          <w:szCs w:val="24"/>
        </w:rPr>
        <w:t>⑥</w:t>
      </w:r>
      <w:r>
        <w:rPr>
          <w:szCs w:val="24"/>
        </w:rPr>
        <w:t>依据探明的地下水污染情况和污染场地的含水层埋藏分布特征，结合拟采用的地下水污染治理技术方法，制定地下水污染治理实施方案。</w:t>
      </w:r>
    </w:p>
    <w:p>
      <w:pPr>
        <w:pStyle w:val="59"/>
        <w:spacing w:line="480" w:lineRule="exact"/>
        <w:ind w:firstLine="480"/>
        <w:rPr>
          <w:szCs w:val="24"/>
        </w:rPr>
      </w:pPr>
      <w:r>
        <w:rPr>
          <w:rFonts w:hint="eastAsia" w:ascii="宋体" w:hAnsi="宋体" w:cs="宋体"/>
          <w:szCs w:val="24"/>
        </w:rPr>
        <w:t>⑦</w:t>
      </w:r>
      <w:r>
        <w:rPr>
          <w:szCs w:val="24"/>
        </w:rPr>
        <w:t>依据实施方案进行施工，抽取被污染的地下水体，并依据各井孔出水情况进行调整。</w:t>
      </w:r>
    </w:p>
    <w:p>
      <w:pPr>
        <w:pStyle w:val="59"/>
        <w:spacing w:line="480" w:lineRule="exact"/>
        <w:ind w:firstLine="480"/>
        <w:rPr>
          <w:szCs w:val="24"/>
        </w:rPr>
      </w:pPr>
      <w:r>
        <w:rPr>
          <w:rFonts w:hint="eastAsia" w:ascii="宋体" w:hAnsi="宋体" w:cs="宋体"/>
          <w:szCs w:val="24"/>
        </w:rPr>
        <w:t>⑧</w:t>
      </w:r>
      <w:r>
        <w:rPr>
          <w:szCs w:val="24"/>
        </w:rPr>
        <w:t>将抽取的地下水进行集中收集处理，并送化验室进行化验分析。</w:t>
      </w:r>
    </w:p>
    <w:p>
      <w:pPr>
        <w:pStyle w:val="59"/>
        <w:spacing w:line="480" w:lineRule="exact"/>
        <w:ind w:firstLine="480"/>
        <w:rPr>
          <w:szCs w:val="24"/>
        </w:rPr>
      </w:pPr>
      <w:r>
        <w:rPr>
          <w:rFonts w:hint="eastAsia" w:ascii="宋体" w:hAnsi="宋体" w:cs="宋体"/>
          <w:szCs w:val="24"/>
        </w:rPr>
        <w:t>⑨</w:t>
      </w:r>
      <w:r>
        <w:rPr>
          <w:szCs w:val="24"/>
        </w:rPr>
        <w:t>当地下水中的特征污染物浓度满足地下水功能区划的标准后，逐步停止井点抽水，并进行土壤修复治理工作。</w:t>
      </w:r>
    </w:p>
    <w:p>
      <w:pPr>
        <w:pStyle w:val="24"/>
        <w:ind w:firstLine="480"/>
        <w:jc w:val="both"/>
        <w:rPr>
          <w:color w:val="auto"/>
        </w:rPr>
      </w:pPr>
      <w:r>
        <w:rPr>
          <w:color w:val="auto"/>
        </w:rPr>
        <w:t>另外，建议采取如下的地下水防护措施和要求：</w:t>
      </w:r>
    </w:p>
    <w:p>
      <w:pPr>
        <w:pStyle w:val="24"/>
        <w:ind w:firstLine="480"/>
        <w:jc w:val="both"/>
        <w:rPr>
          <w:color w:val="auto"/>
        </w:rPr>
      </w:pPr>
      <w:r>
        <w:rPr>
          <w:rFonts w:hint="eastAsia" w:ascii="宋体" w:hAnsi="宋体" w:cs="宋体"/>
          <w:color w:val="auto"/>
        </w:rPr>
        <w:t>①</w:t>
      </w:r>
      <w:r>
        <w:rPr>
          <w:color w:val="auto"/>
        </w:rPr>
        <w:t>实施清洁生产及各类废物循环利用的具体方案，减少污染物的排放量；防止污染物的“跑、冒、漏、滴”，将污染物的泄露环境风险事故降到最低限度；</w:t>
      </w:r>
    </w:p>
    <w:p>
      <w:pPr>
        <w:pStyle w:val="24"/>
        <w:ind w:firstLine="480"/>
        <w:jc w:val="both"/>
        <w:rPr>
          <w:color w:val="auto"/>
        </w:rPr>
      </w:pPr>
      <w:r>
        <w:rPr>
          <w:rFonts w:hint="eastAsia" w:ascii="宋体" w:hAnsi="宋体" w:cs="宋体"/>
          <w:color w:val="auto"/>
        </w:rPr>
        <w:t>②</w:t>
      </w:r>
      <w:r>
        <w:rPr>
          <w:color w:val="auto"/>
        </w:rPr>
        <w:t>对厂内排水系统和废水处理站池体及排放管道均做防渗处理；工艺管线应地上敷设，若确实需要地下敷设时，应在不通行的管沟内敷设，管沟应做防渗透处理并设置排水系统；</w:t>
      </w:r>
    </w:p>
    <w:p>
      <w:pPr>
        <w:pStyle w:val="24"/>
        <w:ind w:firstLine="480"/>
        <w:jc w:val="both"/>
        <w:rPr>
          <w:color w:val="auto"/>
        </w:rPr>
      </w:pPr>
      <w:r>
        <w:rPr>
          <w:rFonts w:hint="eastAsia" w:ascii="宋体" w:hAnsi="宋体" w:cs="宋体"/>
          <w:color w:val="auto"/>
        </w:rPr>
        <w:t>③</w:t>
      </w:r>
      <w:r>
        <w:rPr>
          <w:color w:val="auto"/>
        </w:rPr>
        <w:t>各种废液输送管道按规范设计、施工。选用优质管材和阀门；管道接口、管道与设备接口采用柔性连接，阀门安装牢固，尽量减少管道系统的跑冒滴漏。管道系统安装在不易受压、不易碰撞损伤的位置；</w:t>
      </w:r>
    </w:p>
    <w:p>
      <w:pPr>
        <w:pStyle w:val="24"/>
        <w:ind w:firstLine="480"/>
        <w:jc w:val="both"/>
        <w:rPr>
          <w:color w:val="auto"/>
        </w:rPr>
      </w:pPr>
      <w:r>
        <w:rPr>
          <w:rFonts w:hint="eastAsia" w:ascii="宋体" w:hAnsi="宋体" w:cs="宋体"/>
          <w:color w:val="auto"/>
        </w:rPr>
        <w:t>④</w:t>
      </w:r>
      <w:r>
        <w:rPr>
          <w:color w:val="auto"/>
        </w:rPr>
        <w:t>设备和管道检修、拆卸时必须采取措施，应收集设备和管道中的残留物质，不得任意排放；</w:t>
      </w:r>
    </w:p>
    <w:p>
      <w:pPr>
        <w:pStyle w:val="24"/>
        <w:ind w:firstLine="480"/>
        <w:jc w:val="both"/>
        <w:rPr>
          <w:color w:val="auto"/>
        </w:rPr>
      </w:pPr>
      <w:r>
        <w:rPr>
          <w:rFonts w:hint="eastAsia" w:ascii="宋体" w:hAnsi="宋体" w:cs="宋体"/>
          <w:color w:val="auto"/>
        </w:rPr>
        <w:t>⑤</w:t>
      </w:r>
      <w:r>
        <w:rPr>
          <w:color w:val="auto"/>
        </w:rPr>
        <w:t>排水系统上的集水坑、污水池、雨水口等所有构筑物均应采用防渗的钢筋混凝土结构；</w:t>
      </w:r>
    </w:p>
    <w:p>
      <w:pPr>
        <w:pStyle w:val="24"/>
        <w:ind w:firstLine="480"/>
        <w:jc w:val="both"/>
        <w:rPr>
          <w:color w:val="auto"/>
        </w:rPr>
      </w:pPr>
      <w:r>
        <w:rPr>
          <w:rFonts w:hint="eastAsia" w:ascii="宋体" w:hAnsi="宋体" w:cs="宋体"/>
          <w:color w:val="auto"/>
        </w:rPr>
        <w:t>⑥</w:t>
      </w:r>
      <w:r>
        <w:rPr>
          <w:color w:val="auto"/>
        </w:rPr>
        <w:t>事故水池、排污管沟均做防渗处理；</w:t>
      </w:r>
    </w:p>
    <w:p>
      <w:pPr>
        <w:pStyle w:val="24"/>
        <w:ind w:firstLine="480"/>
        <w:jc w:val="both"/>
        <w:rPr>
          <w:color w:val="auto"/>
        </w:rPr>
      </w:pPr>
      <w:r>
        <w:rPr>
          <w:rFonts w:hint="eastAsia" w:ascii="宋体" w:hAnsi="宋体" w:cs="宋体"/>
          <w:color w:val="auto"/>
        </w:rPr>
        <w:t>⑦</w:t>
      </w:r>
      <w:r>
        <w:rPr>
          <w:color w:val="auto"/>
        </w:rPr>
        <w:t>定期进行检漏监测及检修。强化各相关工程的转弯、承插、对接等处的防渗，作好隐蔽工程记录，强化防渗工程的环境管理；</w:t>
      </w:r>
    </w:p>
    <w:p>
      <w:pPr>
        <w:pStyle w:val="24"/>
        <w:ind w:firstLine="480"/>
        <w:jc w:val="both"/>
        <w:rPr>
          <w:color w:val="auto"/>
        </w:rPr>
      </w:pPr>
      <w:r>
        <w:rPr>
          <w:rFonts w:hint="eastAsia" w:ascii="宋体" w:hAnsi="宋体" w:cs="宋体"/>
          <w:color w:val="auto"/>
        </w:rPr>
        <w:t>⑧</w:t>
      </w:r>
      <w:r>
        <w:rPr>
          <w:color w:val="auto"/>
        </w:rPr>
        <w:t>必须定期进行检漏监测；</w:t>
      </w:r>
    </w:p>
    <w:p>
      <w:pPr>
        <w:pStyle w:val="24"/>
        <w:ind w:firstLine="480"/>
        <w:jc w:val="both"/>
        <w:rPr>
          <w:rFonts w:eastAsia="黑体"/>
          <w:color w:val="auto"/>
        </w:rPr>
      </w:pPr>
      <w:r>
        <w:rPr>
          <w:color w:val="auto"/>
        </w:rPr>
        <w:t>综上，本项目在贮存、生产过程中须严格执行以上防渗防范措施，对地下水的影响很小。</w:t>
      </w:r>
    </w:p>
    <w:p>
      <w:pPr>
        <w:pStyle w:val="39"/>
        <w:rPr>
          <w:color w:val="auto"/>
        </w:rPr>
      </w:pPr>
      <w:bookmarkStart w:id="108" w:name="_Toc8391583"/>
      <w:r>
        <w:rPr>
          <w:rFonts w:hint="eastAsia"/>
          <w:color w:val="auto"/>
        </w:rPr>
        <w:t>5.</w:t>
      </w:r>
      <w:r>
        <w:rPr>
          <w:color w:val="auto"/>
        </w:rPr>
        <w:t xml:space="preserve">6 </w:t>
      </w:r>
      <w:r>
        <w:rPr>
          <w:rFonts w:hint="eastAsia"/>
          <w:color w:val="auto"/>
        </w:rPr>
        <w:t>环保措施及“三同时</w:t>
      </w:r>
      <w:r>
        <w:rPr>
          <w:color w:val="auto"/>
        </w:rPr>
        <w:t>”</w:t>
      </w:r>
      <w:r>
        <w:rPr>
          <w:rFonts w:hint="eastAsia"/>
          <w:color w:val="auto"/>
        </w:rPr>
        <w:t>验收清单</w:t>
      </w:r>
      <w:bookmarkEnd w:id="108"/>
    </w:p>
    <w:p>
      <w:pPr>
        <w:pStyle w:val="24"/>
        <w:ind w:firstLine="480"/>
        <w:rPr>
          <w:color w:val="auto"/>
        </w:rPr>
      </w:pPr>
      <w:r>
        <w:rPr>
          <w:color w:val="auto"/>
        </w:rPr>
        <w:t>按照国家有关规定，建设项目必须严格执行“三同时”制度。本工程将对环保措施验收内容进行汇总</w:t>
      </w:r>
      <w:r>
        <w:rPr>
          <w:rFonts w:hint="eastAsia"/>
          <w:color w:val="auto"/>
        </w:rPr>
        <w:t>，变更后本项目的环保投资情况和“三同时”竣工环境保护验收情况分别见表5</w:t>
      </w:r>
      <w:r>
        <w:rPr>
          <w:color w:val="auto"/>
        </w:rPr>
        <w:t>.6-1</w:t>
      </w:r>
      <w:r>
        <w:rPr>
          <w:rFonts w:hint="eastAsia"/>
          <w:color w:val="auto"/>
        </w:rPr>
        <w:t>和5.6</w:t>
      </w:r>
      <w:r>
        <w:rPr>
          <w:color w:val="auto"/>
        </w:rPr>
        <w:t>-2</w:t>
      </w:r>
      <w:r>
        <w:rPr>
          <w:rFonts w:hint="eastAsia"/>
          <w:color w:val="auto"/>
        </w:rPr>
        <w:t>。</w:t>
      </w:r>
    </w:p>
    <w:p>
      <w:pPr>
        <w:spacing w:line="48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表5.6</w:t>
      </w:r>
      <w:r>
        <w:rPr>
          <w:rFonts w:ascii="Times New Roman" w:hAnsi="Times New Roman" w:eastAsia="黑体" w:cs="Times New Roman"/>
          <w:sz w:val="24"/>
          <w:szCs w:val="24"/>
        </w:rPr>
        <w:t>-</w:t>
      </w:r>
      <w:r>
        <w:rPr>
          <w:rFonts w:hint="eastAsia" w:ascii="Times New Roman" w:hAnsi="Times New Roman" w:eastAsia="黑体" w:cs="Times New Roman"/>
          <w:sz w:val="24"/>
          <w:szCs w:val="24"/>
        </w:rPr>
        <w:t xml:space="preserve">1  </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变更后本项目环保投资一览表</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372"/>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pStyle w:val="24"/>
              <w:spacing w:line="240" w:lineRule="exact"/>
              <w:ind w:firstLine="0" w:firstLineChars="0"/>
              <w:jc w:val="center"/>
              <w:rPr>
                <w:color w:val="auto"/>
                <w:sz w:val="21"/>
                <w:szCs w:val="21"/>
              </w:rPr>
            </w:pPr>
            <w:r>
              <w:rPr>
                <w:color w:val="auto"/>
                <w:sz w:val="21"/>
                <w:szCs w:val="21"/>
              </w:rPr>
              <w:t>措施类型</w:t>
            </w:r>
          </w:p>
        </w:tc>
        <w:tc>
          <w:tcPr>
            <w:tcW w:w="6372" w:type="dxa"/>
            <w:vAlign w:val="center"/>
          </w:tcPr>
          <w:p>
            <w:pPr>
              <w:pStyle w:val="24"/>
              <w:spacing w:line="240" w:lineRule="exact"/>
              <w:ind w:firstLine="0" w:firstLineChars="0"/>
              <w:jc w:val="center"/>
              <w:rPr>
                <w:color w:val="auto"/>
                <w:sz w:val="21"/>
                <w:szCs w:val="21"/>
              </w:rPr>
            </w:pPr>
            <w:r>
              <w:rPr>
                <w:color w:val="auto"/>
                <w:sz w:val="21"/>
                <w:szCs w:val="21"/>
              </w:rPr>
              <w:t>污染防治措施</w:t>
            </w:r>
          </w:p>
        </w:tc>
        <w:tc>
          <w:tcPr>
            <w:tcW w:w="1220" w:type="dxa"/>
            <w:vAlign w:val="center"/>
          </w:tcPr>
          <w:p>
            <w:pPr>
              <w:pStyle w:val="24"/>
              <w:spacing w:line="240" w:lineRule="exact"/>
              <w:ind w:firstLine="0" w:firstLineChars="0"/>
              <w:jc w:val="center"/>
              <w:rPr>
                <w:color w:val="auto"/>
                <w:sz w:val="21"/>
                <w:szCs w:val="21"/>
              </w:rPr>
            </w:pPr>
            <w:r>
              <w:rPr>
                <w:color w:val="auto"/>
                <w:sz w:val="21"/>
                <w:szCs w:val="21"/>
              </w:rPr>
              <w:t>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restart"/>
            <w:vAlign w:val="center"/>
          </w:tcPr>
          <w:p>
            <w:pPr>
              <w:pStyle w:val="24"/>
              <w:spacing w:line="240" w:lineRule="exact"/>
              <w:ind w:firstLine="0" w:firstLineChars="0"/>
              <w:jc w:val="center"/>
              <w:rPr>
                <w:color w:val="auto"/>
                <w:sz w:val="21"/>
                <w:szCs w:val="21"/>
              </w:rPr>
            </w:pPr>
            <w:r>
              <w:rPr>
                <w:color w:val="auto"/>
                <w:sz w:val="21"/>
                <w:szCs w:val="21"/>
              </w:rPr>
              <w:t>废气</w:t>
            </w:r>
          </w:p>
        </w:tc>
        <w:tc>
          <w:tcPr>
            <w:tcW w:w="6372" w:type="dxa"/>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不凝气：真空泵抽取不凝气经密闭管道引至减压炉燃烧</w:t>
            </w:r>
          </w:p>
        </w:tc>
        <w:tc>
          <w:tcPr>
            <w:tcW w:w="1220" w:type="dxa"/>
            <w:vMerge w:val="restart"/>
            <w:vAlign w:val="center"/>
          </w:tcPr>
          <w:p>
            <w:pPr>
              <w:pStyle w:val="24"/>
              <w:spacing w:line="240" w:lineRule="exact"/>
              <w:ind w:firstLine="0" w:firstLineChars="0"/>
              <w:jc w:val="center"/>
              <w:rPr>
                <w:color w:val="auto"/>
                <w:sz w:val="21"/>
                <w:szCs w:val="21"/>
              </w:rPr>
            </w:pPr>
            <w:r>
              <w:rPr>
                <w:color w:val="auto"/>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pStyle w:val="24"/>
              <w:spacing w:line="240" w:lineRule="exact"/>
              <w:ind w:firstLine="0" w:firstLineChars="0"/>
              <w:jc w:val="center"/>
              <w:rPr>
                <w:color w:val="auto"/>
                <w:sz w:val="21"/>
                <w:szCs w:val="21"/>
              </w:rPr>
            </w:pPr>
          </w:p>
        </w:tc>
        <w:tc>
          <w:tcPr>
            <w:tcW w:w="6372" w:type="dxa"/>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减压炉燃烧废气收集管道及排气装置</w:t>
            </w:r>
          </w:p>
        </w:tc>
        <w:tc>
          <w:tcPr>
            <w:tcW w:w="1220" w:type="dxa"/>
            <w:vMerge w:val="continue"/>
            <w:vAlign w:val="center"/>
          </w:tcPr>
          <w:p>
            <w:pPr>
              <w:pStyle w:val="24"/>
              <w:spacing w:line="240" w:lineRule="exact"/>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pStyle w:val="24"/>
              <w:spacing w:line="240" w:lineRule="exact"/>
              <w:ind w:firstLine="0" w:firstLineChars="0"/>
              <w:jc w:val="center"/>
              <w:rPr>
                <w:color w:val="auto"/>
                <w:sz w:val="21"/>
                <w:szCs w:val="21"/>
              </w:rPr>
            </w:pPr>
          </w:p>
        </w:tc>
        <w:tc>
          <w:tcPr>
            <w:tcW w:w="6372" w:type="dxa"/>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导热炉燃烧废气收集管道及排气装置</w:t>
            </w:r>
          </w:p>
        </w:tc>
        <w:tc>
          <w:tcPr>
            <w:tcW w:w="1220" w:type="dxa"/>
            <w:vMerge w:val="continue"/>
            <w:vAlign w:val="center"/>
          </w:tcPr>
          <w:p>
            <w:pPr>
              <w:pStyle w:val="24"/>
              <w:spacing w:line="240" w:lineRule="exact"/>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pStyle w:val="24"/>
              <w:spacing w:line="240" w:lineRule="exact"/>
              <w:ind w:firstLine="0" w:firstLineChars="0"/>
              <w:jc w:val="center"/>
              <w:rPr>
                <w:color w:val="auto"/>
                <w:sz w:val="21"/>
                <w:szCs w:val="21"/>
              </w:rPr>
            </w:pPr>
          </w:p>
        </w:tc>
        <w:tc>
          <w:tcPr>
            <w:tcW w:w="6372" w:type="dxa"/>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罐区大小呼吸：收集至微生物吸附装置</w:t>
            </w:r>
          </w:p>
        </w:tc>
        <w:tc>
          <w:tcPr>
            <w:tcW w:w="1220" w:type="dxa"/>
            <w:vAlign w:val="center"/>
          </w:tcPr>
          <w:p>
            <w:pPr>
              <w:pStyle w:val="24"/>
              <w:spacing w:line="240" w:lineRule="exact"/>
              <w:ind w:firstLine="0" w:firstLineChars="0"/>
              <w:jc w:val="center"/>
              <w:rPr>
                <w:color w:val="auto"/>
                <w:sz w:val="21"/>
                <w:szCs w:val="21"/>
              </w:rPr>
            </w:pPr>
            <w:r>
              <w:rPr>
                <w:color w:val="auto"/>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pStyle w:val="24"/>
              <w:spacing w:line="240" w:lineRule="exact"/>
              <w:ind w:firstLine="0" w:firstLineChars="0"/>
              <w:jc w:val="center"/>
              <w:rPr>
                <w:color w:val="auto"/>
                <w:sz w:val="21"/>
                <w:szCs w:val="21"/>
              </w:rPr>
            </w:pPr>
          </w:p>
        </w:tc>
        <w:tc>
          <w:tcPr>
            <w:tcW w:w="6372" w:type="dxa"/>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污水处理站废气：经收集管道引入微生物吸附装置</w:t>
            </w:r>
          </w:p>
        </w:tc>
        <w:tc>
          <w:tcPr>
            <w:tcW w:w="1220" w:type="dxa"/>
            <w:vAlign w:val="center"/>
          </w:tcPr>
          <w:p>
            <w:pPr>
              <w:pStyle w:val="24"/>
              <w:spacing w:line="240" w:lineRule="exact"/>
              <w:ind w:firstLine="0" w:firstLineChars="0"/>
              <w:jc w:val="center"/>
              <w:rPr>
                <w:color w:val="auto"/>
                <w:sz w:val="21"/>
                <w:szCs w:val="21"/>
              </w:rPr>
            </w:pPr>
            <w:r>
              <w:rPr>
                <w:color w:val="auto"/>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pStyle w:val="24"/>
              <w:spacing w:line="240" w:lineRule="exact"/>
              <w:ind w:firstLine="0" w:firstLineChars="0"/>
              <w:jc w:val="center"/>
              <w:rPr>
                <w:color w:val="auto"/>
                <w:sz w:val="21"/>
                <w:szCs w:val="21"/>
              </w:rPr>
            </w:pPr>
          </w:p>
        </w:tc>
        <w:tc>
          <w:tcPr>
            <w:tcW w:w="6372" w:type="dxa"/>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罐区及污水处理站臭气排气筒的在线监测</w:t>
            </w:r>
          </w:p>
        </w:tc>
        <w:tc>
          <w:tcPr>
            <w:tcW w:w="1220" w:type="dxa"/>
            <w:vAlign w:val="center"/>
          </w:tcPr>
          <w:p>
            <w:pPr>
              <w:pStyle w:val="24"/>
              <w:spacing w:line="240" w:lineRule="exact"/>
              <w:ind w:firstLine="0" w:firstLineChars="0"/>
              <w:jc w:val="center"/>
              <w:rPr>
                <w:color w:val="auto"/>
                <w:sz w:val="21"/>
                <w:szCs w:val="21"/>
              </w:rPr>
            </w:pPr>
            <w:r>
              <w:rPr>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pStyle w:val="24"/>
              <w:spacing w:line="240" w:lineRule="exact"/>
              <w:ind w:firstLine="0" w:firstLineChars="0"/>
              <w:jc w:val="center"/>
              <w:rPr>
                <w:color w:val="auto"/>
                <w:sz w:val="21"/>
                <w:szCs w:val="21"/>
              </w:rPr>
            </w:pPr>
          </w:p>
        </w:tc>
        <w:tc>
          <w:tcPr>
            <w:tcW w:w="6372" w:type="dxa"/>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非正常状态不凝气：20t/h地面火炬</w:t>
            </w:r>
          </w:p>
        </w:tc>
        <w:tc>
          <w:tcPr>
            <w:tcW w:w="1220" w:type="dxa"/>
            <w:vAlign w:val="center"/>
          </w:tcPr>
          <w:p>
            <w:pPr>
              <w:pStyle w:val="24"/>
              <w:spacing w:line="240" w:lineRule="exact"/>
              <w:ind w:firstLine="0" w:firstLineChars="0"/>
              <w:jc w:val="center"/>
              <w:rPr>
                <w:color w:val="auto"/>
                <w:sz w:val="21"/>
                <w:szCs w:val="21"/>
              </w:rPr>
            </w:pPr>
            <w:r>
              <w:rPr>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pStyle w:val="24"/>
              <w:spacing w:line="240" w:lineRule="exact"/>
              <w:ind w:firstLine="0" w:firstLineChars="0"/>
              <w:jc w:val="center"/>
              <w:rPr>
                <w:color w:val="auto"/>
                <w:sz w:val="21"/>
                <w:szCs w:val="21"/>
              </w:rPr>
            </w:pPr>
          </w:p>
        </w:tc>
        <w:tc>
          <w:tcPr>
            <w:tcW w:w="6372" w:type="dxa"/>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罐区：储罐气相平衡管、油储罐内浮顶、油气回收装置、泄露检测与修复（LDAR）</w:t>
            </w:r>
          </w:p>
        </w:tc>
        <w:tc>
          <w:tcPr>
            <w:tcW w:w="1220" w:type="dxa"/>
            <w:vAlign w:val="center"/>
          </w:tcPr>
          <w:p>
            <w:pPr>
              <w:pStyle w:val="24"/>
              <w:spacing w:line="240" w:lineRule="exact"/>
              <w:ind w:firstLine="0" w:firstLineChars="0"/>
              <w:jc w:val="center"/>
              <w:rPr>
                <w:color w:val="auto"/>
                <w:sz w:val="21"/>
                <w:szCs w:val="21"/>
              </w:rPr>
            </w:pPr>
            <w:r>
              <w:rPr>
                <w:color w:val="auto"/>
                <w:sz w:val="21"/>
                <w:szCs w:val="21"/>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pStyle w:val="24"/>
              <w:spacing w:line="240" w:lineRule="exact"/>
              <w:ind w:firstLine="0" w:firstLineChars="0"/>
              <w:jc w:val="center"/>
              <w:rPr>
                <w:color w:val="auto"/>
                <w:sz w:val="21"/>
                <w:szCs w:val="21"/>
              </w:rPr>
            </w:pPr>
            <w:r>
              <w:rPr>
                <w:color w:val="auto"/>
                <w:sz w:val="21"/>
                <w:szCs w:val="21"/>
              </w:rPr>
              <w:t>废水</w:t>
            </w:r>
          </w:p>
        </w:tc>
        <w:tc>
          <w:tcPr>
            <w:tcW w:w="6372" w:type="dxa"/>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污水处理站</w:t>
            </w:r>
          </w:p>
        </w:tc>
        <w:tc>
          <w:tcPr>
            <w:tcW w:w="1220" w:type="dxa"/>
            <w:vAlign w:val="center"/>
          </w:tcPr>
          <w:p>
            <w:pPr>
              <w:pStyle w:val="24"/>
              <w:spacing w:line="240" w:lineRule="exact"/>
              <w:ind w:firstLine="0" w:firstLineChars="0"/>
              <w:jc w:val="center"/>
              <w:rPr>
                <w:color w:val="auto"/>
                <w:sz w:val="21"/>
                <w:szCs w:val="21"/>
              </w:rPr>
            </w:pPr>
            <w:r>
              <w:rPr>
                <w:color w:val="auto"/>
                <w:sz w:val="21"/>
                <w:szCs w:val="21"/>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pStyle w:val="24"/>
              <w:spacing w:line="240" w:lineRule="exact"/>
              <w:ind w:firstLine="0" w:firstLineChars="0"/>
              <w:jc w:val="center"/>
              <w:rPr>
                <w:color w:val="auto"/>
                <w:sz w:val="21"/>
                <w:szCs w:val="21"/>
              </w:rPr>
            </w:pPr>
            <w:r>
              <w:rPr>
                <w:color w:val="auto"/>
                <w:sz w:val="21"/>
                <w:szCs w:val="21"/>
              </w:rPr>
              <w:t>噪声</w:t>
            </w:r>
          </w:p>
        </w:tc>
        <w:tc>
          <w:tcPr>
            <w:tcW w:w="6372" w:type="dxa"/>
            <w:vAlign w:val="center"/>
          </w:tcPr>
          <w:p>
            <w:pPr>
              <w:pStyle w:val="29"/>
              <w:rPr>
                <w:rFonts w:cs="Times New Roman"/>
                <w:bCs/>
                <w:color w:val="auto"/>
                <w:sz w:val="21"/>
                <w:szCs w:val="21"/>
              </w:rPr>
            </w:pPr>
            <w:r>
              <w:rPr>
                <w:rFonts w:cs="Times New Roman"/>
                <w:bCs/>
                <w:color w:val="auto"/>
                <w:sz w:val="21"/>
                <w:szCs w:val="21"/>
              </w:rPr>
              <w:t>选用低噪声设备、建筑隔声、消声器、减震器</w:t>
            </w:r>
          </w:p>
        </w:tc>
        <w:tc>
          <w:tcPr>
            <w:tcW w:w="1220" w:type="dxa"/>
            <w:vAlign w:val="center"/>
          </w:tcPr>
          <w:p>
            <w:pPr>
              <w:pStyle w:val="29"/>
              <w:rPr>
                <w:rFonts w:cs="Times New Roman"/>
                <w:bCs/>
                <w:color w:val="auto"/>
                <w:sz w:val="21"/>
                <w:szCs w:val="21"/>
              </w:rPr>
            </w:pPr>
            <w:r>
              <w:rPr>
                <w:rFonts w:cs="Times New Roman"/>
                <w:bCs/>
                <w:color w:val="auto"/>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restart"/>
            <w:vAlign w:val="center"/>
          </w:tcPr>
          <w:p>
            <w:pPr>
              <w:pStyle w:val="24"/>
              <w:spacing w:line="240" w:lineRule="exact"/>
              <w:ind w:firstLine="0" w:firstLineChars="0"/>
              <w:jc w:val="center"/>
              <w:rPr>
                <w:color w:val="auto"/>
                <w:sz w:val="21"/>
                <w:szCs w:val="21"/>
              </w:rPr>
            </w:pPr>
            <w:r>
              <w:rPr>
                <w:color w:val="auto"/>
                <w:sz w:val="21"/>
                <w:szCs w:val="21"/>
              </w:rPr>
              <w:t>固废</w:t>
            </w:r>
          </w:p>
        </w:tc>
        <w:tc>
          <w:tcPr>
            <w:tcW w:w="6372" w:type="dxa"/>
            <w:vAlign w:val="center"/>
          </w:tcPr>
          <w:p>
            <w:pPr>
              <w:widowControl/>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危险废物：一间200m</w:t>
            </w:r>
            <w:r>
              <w:rPr>
                <w:rFonts w:ascii="Times New Roman" w:hAnsi="Times New Roman" w:eastAsia="宋体" w:cs="Times New Roman"/>
                <w:bCs/>
                <w:szCs w:val="21"/>
                <w:vertAlign w:val="superscript"/>
              </w:rPr>
              <w:t>2</w:t>
            </w:r>
            <w:r>
              <w:rPr>
                <w:rFonts w:ascii="Times New Roman" w:hAnsi="Times New Roman" w:eastAsia="宋体" w:cs="Times New Roman"/>
                <w:bCs/>
                <w:szCs w:val="21"/>
              </w:rPr>
              <w:t>危废暂存间</w:t>
            </w:r>
          </w:p>
        </w:tc>
        <w:tc>
          <w:tcPr>
            <w:tcW w:w="1220" w:type="dxa"/>
            <w:vAlign w:val="center"/>
          </w:tcPr>
          <w:p>
            <w:pPr>
              <w:pStyle w:val="24"/>
              <w:spacing w:line="240" w:lineRule="exact"/>
              <w:ind w:firstLine="0" w:firstLineChars="0"/>
              <w:jc w:val="center"/>
              <w:rPr>
                <w:color w:val="auto"/>
                <w:sz w:val="21"/>
                <w:szCs w:val="21"/>
              </w:rPr>
            </w:pPr>
            <w:r>
              <w:rPr>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pStyle w:val="24"/>
              <w:spacing w:line="240" w:lineRule="exact"/>
              <w:ind w:firstLine="0" w:firstLineChars="0"/>
              <w:jc w:val="center"/>
              <w:rPr>
                <w:color w:val="auto"/>
                <w:sz w:val="21"/>
                <w:szCs w:val="21"/>
              </w:rPr>
            </w:pPr>
          </w:p>
        </w:tc>
        <w:tc>
          <w:tcPr>
            <w:tcW w:w="6372" w:type="dxa"/>
            <w:vAlign w:val="center"/>
          </w:tcPr>
          <w:p>
            <w:pPr>
              <w:widowControl/>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生活垃圾：交市政环卫部门处理</w:t>
            </w:r>
          </w:p>
        </w:tc>
        <w:tc>
          <w:tcPr>
            <w:tcW w:w="1220" w:type="dxa"/>
            <w:vAlign w:val="center"/>
          </w:tcPr>
          <w:p>
            <w:pPr>
              <w:pStyle w:val="24"/>
              <w:spacing w:line="240" w:lineRule="exact"/>
              <w:ind w:firstLine="0" w:firstLineChars="0"/>
              <w:jc w:val="center"/>
              <w:rPr>
                <w:color w:val="auto"/>
                <w:sz w:val="21"/>
                <w:szCs w:val="21"/>
              </w:rPr>
            </w:pPr>
            <w:r>
              <w:rPr>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pStyle w:val="24"/>
              <w:spacing w:line="240" w:lineRule="exact"/>
              <w:ind w:firstLine="0" w:firstLineChars="0"/>
              <w:jc w:val="center"/>
              <w:rPr>
                <w:color w:val="auto"/>
                <w:sz w:val="21"/>
                <w:szCs w:val="21"/>
              </w:rPr>
            </w:pPr>
            <w:r>
              <w:rPr>
                <w:color w:val="auto"/>
                <w:sz w:val="21"/>
                <w:szCs w:val="21"/>
              </w:rPr>
              <w:t>地下水</w:t>
            </w:r>
          </w:p>
        </w:tc>
        <w:tc>
          <w:tcPr>
            <w:tcW w:w="6372" w:type="dxa"/>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重点污染防治区、一般污染防治区地面防渗等措施，厂区储罐区和污水处理站预留监控井</w:t>
            </w:r>
          </w:p>
        </w:tc>
        <w:tc>
          <w:tcPr>
            <w:tcW w:w="1220" w:type="dxa"/>
            <w:vAlign w:val="center"/>
          </w:tcPr>
          <w:p>
            <w:pPr>
              <w:pStyle w:val="24"/>
              <w:spacing w:line="240" w:lineRule="exact"/>
              <w:ind w:firstLine="0" w:firstLineChars="0"/>
              <w:jc w:val="center"/>
              <w:rPr>
                <w:color w:val="auto"/>
                <w:sz w:val="21"/>
                <w:szCs w:val="21"/>
              </w:rPr>
            </w:pPr>
            <w:r>
              <w:rPr>
                <w:color w:val="auto"/>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restart"/>
            <w:vAlign w:val="center"/>
          </w:tcPr>
          <w:p>
            <w:pPr>
              <w:pStyle w:val="24"/>
              <w:spacing w:line="240" w:lineRule="exact"/>
              <w:ind w:firstLine="0" w:firstLineChars="0"/>
              <w:jc w:val="center"/>
              <w:rPr>
                <w:color w:val="auto"/>
                <w:sz w:val="21"/>
                <w:szCs w:val="21"/>
              </w:rPr>
            </w:pPr>
            <w:r>
              <w:rPr>
                <w:bCs/>
                <w:color w:val="auto"/>
                <w:sz w:val="21"/>
                <w:szCs w:val="21"/>
              </w:rPr>
              <w:t>风险防范</w:t>
            </w:r>
          </w:p>
        </w:tc>
        <w:tc>
          <w:tcPr>
            <w:tcW w:w="6372" w:type="dxa"/>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初期雨水池</w:t>
            </w:r>
          </w:p>
        </w:tc>
        <w:tc>
          <w:tcPr>
            <w:tcW w:w="1220" w:type="dxa"/>
            <w:vAlign w:val="center"/>
          </w:tcPr>
          <w:p>
            <w:pPr>
              <w:pStyle w:val="24"/>
              <w:spacing w:line="240" w:lineRule="exact"/>
              <w:ind w:firstLine="0" w:firstLineChars="0"/>
              <w:jc w:val="center"/>
              <w:rPr>
                <w:color w:val="auto"/>
                <w:sz w:val="21"/>
                <w:szCs w:val="21"/>
              </w:rPr>
            </w:pPr>
            <w:r>
              <w:rPr>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pStyle w:val="24"/>
              <w:spacing w:line="240" w:lineRule="exact"/>
              <w:ind w:firstLine="0" w:firstLineChars="0"/>
              <w:jc w:val="center"/>
              <w:rPr>
                <w:color w:val="auto"/>
                <w:sz w:val="21"/>
                <w:szCs w:val="21"/>
              </w:rPr>
            </w:pPr>
          </w:p>
        </w:tc>
        <w:tc>
          <w:tcPr>
            <w:tcW w:w="6372" w:type="dxa"/>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事故应急池</w:t>
            </w:r>
          </w:p>
        </w:tc>
        <w:tc>
          <w:tcPr>
            <w:tcW w:w="1220" w:type="dxa"/>
            <w:vMerge w:val="restart"/>
            <w:vAlign w:val="center"/>
          </w:tcPr>
          <w:p>
            <w:pPr>
              <w:pStyle w:val="24"/>
              <w:spacing w:line="240" w:lineRule="exact"/>
              <w:ind w:firstLine="0" w:firstLineChars="0"/>
              <w:jc w:val="center"/>
              <w:rPr>
                <w:color w:val="auto"/>
                <w:sz w:val="21"/>
                <w:szCs w:val="21"/>
              </w:rPr>
            </w:pPr>
            <w:r>
              <w:rPr>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pStyle w:val="24"/>
              <w:spacing w:line="240" w:lineRule="exact"/>
              <w:ind w:firstLine="0" w:firstLineChars="0"/>
              <w:jc w:val="center"/>
              <w:rPr>
                <w:color w:val="auto"/>
                <w:sz w:val="21"/>
                <w:szCs w:val="21"/>
              </w:rPr>
            </w:pPr>
          </w:p>
        </w:tc>
        <w:tc>
          <w:tcPr>
            <w:tcW w:w="6372" w:type="dxa"/>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气体报警系统和喷淋装置</w:t>
            </w:r>
          </w:p>
        </w:tc>
        <w:tc>
          <w:tcPr>
            <w:tcW w:w="1220" w:type="dxa"/>
            <w:vMerge w:val="continue"/>
            <w:vAlign w:val="center"/>
          </w:tcPr>
          <w:p>
            <w:pPr>
              <w:pStyle w:val="24"/>
              <w:spacing w:line="240" w:lineRule="exact"/>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pStyle w:val="24"/>
              <w:spacing w:line="240" w:lineRule="exact"/>
              <w:ind w:firstLine="0" w:firstLineChars="0"/>
              <w:jc w:val="center"/>
              <w:rPr>
                <w:color w:val="auto"/>
                <w:sz w:val="21"/>
                <w:szCs w:val="21"/>
              </w:rPr>
            </w:pPr>
          </w:p>
        </w:tc>
        <w:tc>
          <w:tcPr>
            <w:tcW w:w="6372" w:type="dxa"/>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各类灭火器等</w:t>
            </w:r>
          </w:p>
        </w:tc>
        <w:tc>
          <w:tcPr>
            <w:tcW w:w="1220" w:type="dxa"/>
            <w:vMerge w:val="continue"/>
            <w:vAlign w:val="center"/>
          </w:tcPr>
          <w:p>
            <w:pPr>
              <w:pStyle w:val="24"/>
              <w:spacing w:line="240" w:lineRule="exact"/>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pStyle w:val="24"/>
              <w:spacing w:line="240" w:lineRule="exact"/>
              <w:ind w:firstLine="0" w:firstLineChars="0"/>
              <w:jc w:val="center"/>
              <w:rPr>
                <w:color w:val="auto"/>
                <w:sz w:val="21"/>
                <w:szCs w:val="21"/>
              </w:rPr>
            </w:pPr>
            <w:r>
              <w:rPr>
                <w:bCs/>
                <w:color w:val="auto"/>
                <w:sz w:val="21"/>
                <w:szCs w:val="21"/>
              </w:rPr>
              <w:t>绿化</w:t>
            </w:r>
          </w:p>
        </w:tc>
        <w:tc>
          <w:tcPr>
            <w:tcW w:w="6372" w:type="dxa"/>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厂区绿化（植物种草等）</w:t>
            </w:r>
          </w:p>
        </w:tc>
        <w:tc>
          <w:tcPr>
            <w:tcW w:w="1220" w:type="dxa"/>
            <w:vAlign w:val="center"/>
          </w:tcPr>
          <w:p>
            <w:pPr>
              <w:pStyle w:val="24"/>
              <w:spacing w:line="240" w:lineRule="exact"/>
              <w:ind w:firstLine="0" w:firstLineChars="0"/>
              <w:jc w:val="center"/>
              <w:rPr>
                <w:color w:val="auto"/>
                <w:sz w:val="21"/>
                <w:szCs w:val="21"/>
              </w:rPr>
            </w:pPr>
            <w:r>
              <w:rPr>
                <w:color w:val="auto"/>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6" w:type="dxa"/>
            <w:gridSpan w:val="2"/>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合计</w:t>
            </w:r>
          </w:p>
        </w:tc>
        <w:tc>
          <w:tcPr>
            <w:tcW w:w="1220" w:type="dxa"/>
            <w:vAlign w:val="center"/>
          </w:tcPr>
          <w:p>
            <w:pPr>
              <w:pStyle w:val="24"/>
              <w:spacing w:line="240" w:lineRule="exact"/>
              <w:ind w:firstLine="0" w:firstLineChars="0"/>
              <w:jc w:val="center"/>
              <w:rPr>
                <w:color w:val="auto"/>
                <w:sz w:val="21"/>
                <w:szCs w:val="21"/>
              </w:rPr>
            </w:pPr>
            <w:r>
              <w:rPr>
                <w:color w:val="auto"/>
                <w:sz w:val="21"/>
                <w:szCs w:val="21"/>
              </w:rPr>
              <w:t>2330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6" w:type="dxa"/>
            <w:gridSpan w:val="2"/>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占总投资比例（%</w:t>
            </w:r>
            <w:r>
              <w:rPr>
                <w:rFonts w:ascii="Times New Roman" w:hAnsi="Times New Roman" w:eastAsia="宋体" w:cs="Times New Roman"/>
                <w:bCs/>
                <w:szCs w:val="21"/>
              </w:rPr>
              <w:t>）</w:t>
            </w:r>
          </w:p>
        </w:tc>
        <w:tc>
          <w:tcPr>
            <w:tcW w:w="1220" w:type="dxa"/>
            <w:vAlign w:val="center"/>
          </w:tcPr>
          <w:p>
            <w:pPr>
              <w:pStyle w:val="24"/>
              <w:spacing w:line="240" w:lineRule="exact"/>
              <w:ind w:firstLine="0" w:firstLineChars="0"/>
              <w:jc w:val="center"/>
              <w:rPr>
                <w:color w:val="auto"/>
                <w:sz w:val="21"/>
                <w:szCs w:val="21"/>
              </w:rPr>
            </w:pPr>
            <w:r>
              <w:rPr>
                <w:rFonts w:hint="eastAsia"/>
                <w:color w:val="auto"/>
                <w:sz w:val="21"/>
                <w:szCs w:val="21"/>
              </w:rPr>
              <w:t>4.02</w:t>
            </w:r>
          </w:p>
        </w:tc>
      </w:tr>
    </w:tbl>
    <w:p>
      <w:pPr>
        <w:pStyle w:val="24"/>
        <w:ind w:firstLine="199" w:firstLineChars="83"/>
        <w:rPr>
          <w:color w:val="auto"/>
        </w:rPr>
      </w:pPr>
    </w:p>
    <w:p>
      <w:pPr>
        <w:pStyle w:val="24"/>
        <w:ind w:firstLine="199" w:firstLineChars="83"/>
        <w:rPr>
          <w:color w:val="auto"/>
        </w:rPr>
      </w:pPr>
    </w:p>
    <w:p>
      <w:pPr>
        <w:pStyle w:val="24"/>
        <w:ind w:firstLine="199" w:firstLineChars="83"/>
        <w:rPr>
          <w:color w:val="auto"/>
        </w:rPr>
        <w:sectPr>
          <w:pgSz w:w="11906" w:h="16838"/>
          <w:pgMar w:top="1440" w:right="1800" w:bottom="1440" w:left="1800" w:header="851" w:footer="992" w:gutter="0"/>
          <w:cols w:space="425" w:num="1"/>
          <w:docGrid w:type="lines" w:linePitch="312" w:charSpace="0"/>
        </w:sectPr>
      </w:pPr>
    </w:p>
    <w:p>
      <w:pPr>
        <w:spacing w:line="48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表</w:t>
      </w:r>
      <w:r>
        <w:rPr>
          <w:rFonts w:ascii="Times New Roman" w:hAnsi="Times New Roman" w:eastAsia="黑体" w:cs="Times New Roman"/>
          <w:sz w:val="24"/>
          <w:szCs w:val="24"/>
        </w:rPr>
        <w:t>5</w:t>
      </w:r>
      <w:r>
        <w:rPr>
          <w:rFonts w:hint="eastAsia" w:ascii="Times New Roman" w:hAnsi="Times New Roman" w:eastAsia="黑体" w:cs="Times New Roman"/>
          <w:sz w:val="24"/>
          <w:szCs w:val="24"/>
        </w:rPr>
        <w:t>.</w:t>
      </w:r>
      <w:r>
        <w:rPr>
          <w:rFonts w:ascii="Times New Roman" w:hAnsi="Times New Roman" w:eastAsia="黑体" w:cs="Times New Roman"/>
          <w:sz w:val="24"/>
          <w:szCs w:val="24"/>
        </w:rPr>
        <w:t>6</w:t>
      </w:r>
      <w:r>
        <w:rPr>
          <w:rFonts w:hint="eastAsia" w:ascii="Times New Roman" w:hAnsi="Times New Roman" w:eastAsia="黑体" w:cs="Times New Roman"/>
          <w:sz w:val="24"/>
          <w:szCs w:val="24"/>
        </w:rPr>
        <w:t>-</w:t>
      </w:r>
      <w:r>
        <w:rPr>
          <w:rFonts w:ascii="Times New Roman" w:hAnsi="Times New Roman" w:eastAsia="黑体" w:cs="Times New Roman"/>
          <w:sz w:val="24"/>
          <w:szCs w:val="24"/>
        </w:rPr>
        <w:t>2</w:t>
      </w:r>
      <w:r>
        <w:rPr>
          <w:rFonts w:hint="eastAsia" w:ascii="Times New Roman" w:hAnsi="Times New Roman" w:eastAsia="黑体" w:cs="Times New Roman"/>
          <w:sz w:val="24"/>
          <w:szCs w:val="24"/>
        </w:rPr>
        <w:t xml:space="preserve">    </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 xml:space="preserve">     </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 xml:space="preserve"> 变更后本项目“三同时”竣工环境保护验收一览表</w:t>
      </w:r>
    </w:p>
    <w:tbl>
      <w:tblPr>
        <w:tblStyle w:val="19"/>
        <w:tblW w:w="12112" w:type="dxa"/>
        <w:tblInd w:w="0" w:type="dxa"/>
        <w:tblLayout w:type="fixed"/>
        <w:tblCellMar>
          <w:top w:w="0" w:type="dxa"/>
          <w:left w:w="0" w:type="dxa"/>
          <w:bottom w:w="0" w:type="dxa"/>
          <w:right w:w="0" w:type="dxa"/>
        </w:tblCellMar>
      </w:tblPr>
      <w:tblGrid>
        <w:gridCol w:w="981"/>
        <w:gridCol w:w="368"/>
        <w:gridCol w:w="1589"/>
        <w:gridCol w:w="2570"/>
        <w:gridCol w:w="1839"/>
        <w:gridCol w:w="1589"/>
        <w:gridCol w:w="3176"/>
      </w:tblGrid>
      <w:tr>
        <w:tblPrEx>
          <w:tblLayout w:type="fixed"/>
          <w:tblCellMar>
            <w:top w:w="0" w:type="dxa"/>
            <w:left w:w="0" w:type="dxa"/>
            <w:bottom w:w="0" w:type="dxa"/>
            <w:right w:w="0" w:type="dxa"/>
          </w:tblCellMar>
        </w:tblPrEx>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
                <w:bCs/>
                <w:szCs w:val="21"/>
              </w:rPr>
            </w:pPr>
            <w:r>
              <w:rPr>
                <w:rFonts w:ascii="Times New Roman" w:hAnsi="Times New Roman" w:eastAsia="宋体" w:cs="Times New Roman"/>
                <w:b/>
                <w:bCs/>
                <w:szCs w:val="21"/>
              </w:rPr>
              <w:t>项目</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
                <w:bCs/>
                <w:szCs w:val="21"/>
              </w:rPr>
            </w:pPr>
            <w:r>
              <w:rPr>
                <w:rFonts w:ascii="Times New Roman" w:hAnsi="Times New Roman" w:eastAsia="宋体" w:cs="Times New Roman"/>
                <w:b/>
                <w:bCs/>
                <w:szCs w:val="21"/>
              </w:rPr>
              <w:t>污染源</w:t>
            </w:r>
          </w:p>
        </w:tc>
        <w:tc>
          <w:tcPr>
            <w:tcW w:w="2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
                <w:bCs/>
                <w:szCs w:val="21"/>
              </w:rPr>
            </w:pPr>
            <w:r>
              <w:rPr>
                <w:rFonts w:ascii="Times New Roman" w:hAnsi="Times New Roman" w:eastAsia="宋体" w:cs="Times New Roman"/>
                <w:b/>
                <w:bCs/>
                <w:szCs w:val="21"/>
              </w:rPr>
              <w:t>主要措施</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
                <w:bCs/>
                <w:szCs w:val="21"/>
              </w:rPr>
            </w:pPr>
            <w:r>
              <w:rPr>
                <w:rFonts w:ascii="Times New Roman" w:hAnsi="Times New Roman" w:eastAsia="宋体" w:cs="Times New Roman"/>
                <w:b/>
                <w:bCs/>
                <w:szCs w:val="21"/>
              </w:rPr>
              <w:t>监测指标</w:t>
            </w:r>
          </w:p>
        </w:tc>
        <w:tc>
          <w:tcPr>
            <w:tcW w:w="1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
                <w:bCs/>
                <w:szCs w:val="21"/>
              </w:rPr>
            </w:pPr>
            <w:r>
              <w:rPr>
                <w:rFonts w:ascii="Times New Roman" w:hAnsi="Times New Roman" w:eastAsia="宋体" w:cs="Times New Roman"/>
                <w:b/>
                <w:bCs/>
                <w:szCs w:val="21"/>
              </w:rPr>
              <w:t>烟囱高度、内径</w:t>
            </w:r>
          </w:p>
        </w:tc>
        <w:tc>
          <w:tcPr>
            <w:tcW w:w="3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
                <w:bCs/>
                <w:szCs w:val="21"/>
              </w:rPr>
            </w:pPr>
            <w:r>
              <w:rPr>
                <w:rFonts w:ascii="Times New Roman" w:hAnsi="Times New Roman" w:eastAsia="宋体" w:cs="Times New Roman"/>
                <w:b/>
                <w:bCs/>
                <w:szCs w:val="21"/>
              </w:rPr>
              <w:t>验收标准</w:t>
            </w:r>
          </w:p>
        </w:tc>
      </w:tr>
      <w:tr>
        <w:tblPrEx>
          <w:tblLayout w:type="fixed"/>
          <w:tblCellMar>
            <w:top w:w="0" w:type="dxa"/>
            <w:left w:w="0" w:type="dxa"/>
            <w:bottom w:w="0" w:type="dxa"/>
            <w:right w:w="0" w:type="dxa"/>
          </w:tblCellMar>
        </w:tblPrEx>
        <w:tc>
          <w:tcPr>
            <w:tcW w:w="981" w:type="dxa"/>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szCs w:val="21"/>
              </w:rPr>
            </w:pPr>
            <w:r>
              <w:rPr>
                <w:rFonts w:ascii="Times New Roman" w:hAnsi="Times New Roman" w:eastAsia="宋体" w:cs="Times New Roman"/>
                <w:bCs/>
                <w:szCs w:val="21"/>
              </w:rPr>
              <w:t>废气</w:t>
            </w:r>
          </w:p>
        </w:tc>
        <w:tc>
          <w:tcPr>
            <w:tcW w:w="368" w:type="dxa"/>
            <w:vMerge w:val="restart"/>
            <w:tcBorders>
              <w:top w:val="single" w:color="000000" w:sz="4" w:space="0"/>
              <w:left w:val="single" w:color="000000" w:sz="4" w:space="0"/>
              <w:right w:val="single" w:color="auto"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有组织废气</w:t>
            </w:r>
          </w:p>
        </w:tc>
        <w:tc>
          <w:tcPr>
            <w:tcW w:w="1589" w:type="dxa"/>
            <w:tcBorders>
              <w:top w:val="single" w:color="000000" w:sz="4" w:space="0"/>
              <w:left w:val="single" w:color="auto"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轻重烃分离塔</w:t>
            </w:r>
          </w:p>
        </w:tc>
        <w:tc>
          <w:tcPr>
            <w:tcW w:w="2570" w:type="dxa"/>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rPr>
                <w:rFonts w:ascii="Times New Roman" w:hAnsi="Times New Roman" w:eastAsia="宋体" w:cs="Times New Roman"/>
                <w:bCs/>
                <w:szCs w:val="21"/>
              </w:rPr>
            </w:pPr>
            <w:r>
              <w:rPr>
                <w:rFonts w:ascii="Times New Roman" w:hAnsi="Times New Roman" w:eastAsia="宋体" w:cs="Times New Roman"/>
                <w:bCs/>
                <w:szCs w:val="21"/>
              </w:rPr>
              <w:t>真空泵抽取不凝气经密闭管道引至减压炉燃烧</w:t>
            </w:r>
          </w:p>
        </w:tc>
        <w:tc>
          <w:tcPr>
            <w:tcW w:w="1839" w:type="dxa"/>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SO</w:t>
            </w:r>
            <w:r>
              <w:rPr>
                <w:rFonts w:ascii="Times New Roman" w:hAnsi="Times New Roman" w:eastAsia="宋体" w:cs="Times New Roman"/>
                <w:bCs/>
                <w:szCs w:val="21"/>
                <w:vertAlign w:val="subscript"/>
              </w:rPr>
              <w:t>2</w:t>
            </w:r>
            <w:r>
              <w:rPr>
                <w:rFonts w:ascii="Times New Roman" w:hAnsi="Times New Roman" w:eastAsia="宋体" w:cs="Times New Roman"/>
                <w:bCs/>
                <w:szCs w:val="21"/>
              </w:rPr>
              <w:t>、NO</w:t>
            </w:r>
            <w:r>
              <w:rPr>
                <w:rFonts w:ascii="Times New Roman" w:hAnsi="Times New Roman" w:eastAsia="宋体" w:cs="Times New Roman"/>
                <w:bCs/>
                <w:szCs w:val="21"/>
                <w:vertAlign w:val="subscript"/>
              </w:rPr>
              <w:t>2</w:t>
            </w:r>
            <w:r>
              <w:rPr>
                <w:rFonts w:ascii="Times New Roman" w:hAnsi="Times New Roman" w:eastAsia="宋体" w:cs="Times New Roman"/>
                <w:bCs/>
                <w:szCs w:val="21"/>
              </w:rPr>
              <w:t>、PM</w:t>
            </w:r>
            <w:r>
              <w:rPr>
                <w:rFonts w:ascii="Times New Roman" w:hAnsi="Times New Roman" w:eastAsia="宋体" w:cs="Times New Roman"/>
                <w:bCs/>
                <w:szCs w:val="21"/>
                <w:vertAlign w:val="subscript"/>
              </w:rPr>
              <w:t>10</w:t>
            </w:r>
          </w:p>
        </w:tc>
        <w:tc>
          <w:tcPr>
            <w:tcW w:w="1589" w:type="dxa"/>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高度28m，内径0.6m</w:t>
            </w:r>
          </w:p>
        </w:tc>
        <w:tc>
          <w:tcPr>
            <w:tcW w:w="3176" w:type="dxa"/>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bCs/>
                <w:szCs w:val="21"/>
              </w:rPr>
            </w:pPr>
            <w:r>
              <w:rPr>
                <w:rFonts w:ascii="Times New Roman" w:hAnsi="Times New Roman" w:eastAsia="宋体" w:cs="Times New Roman"/>
                <w:bCs/>
                <w:szCs w:val="21"/>
              </w:rPr>
              <w:t>执行《锅炉大气污染物排放标准》（GB13271-2014）中表4 燃气锅炉特别排放限值</w:t>
            </w:r>
          </w:p>
        </w:tc>
      </w:tr>
      <w:tr>
        <w:tblPrEx>
          <w:tblLayout w:type="fixed"/>
          <w:tblCellMar>
            <w:top w:w="0" w:type="dxa"/>
            <w:left w:w="0" w:type="dxa"/>
            <w:bottom w:w="0" w:type="dxa"/>
            <w:right w:w="0" w:type="dxa"/>
          </w:tblCellMar>
        </w:tblPrEx>
        <w:tc>
          <w:tcPr>
            <w:tcW w:w="981" w:type="dxa"/>
            <w:vMerge w:val="continue"/>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368" w:type="dxa"/>
            <w:vMerge w:val="continue"/>
            <w:tcBorders>
              <w:left w:val="single" w:color="000000" w:sz="4" w:space="0"/>
              <w:right w:val="single" w:color="auto"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1589" w:type="dxa"/>
            <w:tcBorders>
              <w:top w:val="single" w:color="000000" w:sz="4" w:space="0"/>
              <w:left w:val="single" w:color="auto"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减压塔回流罐</w:t>
            </w:r>
          </w:p>
        </w:tc>
        <w:tc>
          <w:tcPr>
            <w:tcW w:w="2570" w:type="dxa"/>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rPr>
                <w:rFonts w:ascii="Times New Roman" w:hAnsi="Times New Roman" w:eastAsia="宋体" w:cs="Times New Roman"/>
                <w:bCs/>
                <w:szCs w:val="21"/>
              </w:rPr>
            </w:pPr>
          </w:p>
        </w:tc>
        <w:tc>
          <w:tcPr>
            <w:tcW w:w="1839" w:type="dxa"/>
            <w:vMerge w:val="continue"/>
            <w:tcBorders>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1589" w:type="dxa"/>
            <w:vMerge w:val="continue"/>
            <w:tcBorders>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3176" w:type="dxa"/>
            <w:vMerge w:val="continue"/>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bCs/>
                <w:szCs w:val="21"/>
              </w:rPr>
            </w:pPr>
          </w:p>
        </w:tc>
      </w:tr>
      <w:tr>
        <w:tblPrEx>
          <w:tblLayout w:type="fixed"/>
          <w:tblCellMar>
            <w:top w:w="0" w:type="dxa"/>
            <w:left w:w="0" w:type="dxa"/>
            <w:bottom w:w="0" w:type="dxa"/>
            <w:right w:w="0" w:type="dxa"/>
          </w:tblCellMar>
        </w:tblPrEx>
        <w:tc>
          <w:tcPr>
            <w:tcW w:w="981" w:type="dxa"/>
            <w:vMerge w:val="continue"/>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368" w:type="dxa"/>
            <w:vMerge w:val="continue"/>
            <w:tcBorders>
              <w:left w:val="single" w:color="000000" w:sz="4" w:space="0"/>
              <w:right w:val="single" w:color="auto"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1589" w:type="dxa"/>
            <w:tcBorders>
              <w:top w:val="single" w:color="000000" w:sz="4" w:space="0"/>
              <w:left w:val="single" w:color="auto"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减压炉</w:t>
            </w:r>
          </w:p>
        </w:tc>
        <w:tc>
          <w:tcPr>
            <w:tcW w:w="2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rPr>
                <w:rFonts w:ascii="Times New Roman" w:hAnsi="Times New Roman" w:eastAsia="宋体" w:cs="Times New Roman"/>
                <w:bCs/>
                <w:szCs w:val="21"/>
              </w:rPr>
            </w:pPr>
            <w:r>
              <w:rPr>
                <w:rFonts w:ascii="Times New Roman" w:hAnsi="Times New Roman" w:eastAsia="宋体" w:cs="Times New Roman"/>
                <w:bCs/>
                <w:szCs w:val="21"/>
              </w:rPr>
              <w:t>以天然气和不凝气为燃料</w:t>
            </w:r>
            <w:r>
              <w:rPr>
                <w:rFonts w:hint="eastAsia" w:ascii="Times New Roman" w:hAnsi="Times New Roman" w:eastAsia="宋体" w:cs="Times New Roman"/>
                <w:bCs/>
                <w:szCs w:val="21"/>
              </w:rPr>
              <w:t>，</w:t>
            </w:r>
            <w:r>
              <w:rPr>
                <w:rFonts w:ascii="Times New Roman" w:hAnsi="Times New Roman" w:eastAsia="宋体" w:cs="Times New Roman"/>
                <w:bCs/>
                <w:szCs w:val="21"/>
              </w:rPr>
              <w:t>不凝气收集管道及减压炉燃烧废气收集管道及排气装置</w:t>
            </w:r>
          </w:p>
        </w:tc>
        <w:tc>
          <w:tcPr>
            <w:tcW w:w="1839" w:type="dxa"/>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1589" w:type="dxa"/>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3176" w:type="dxa"/>
            <w:vMerge w:val="continue"/>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bCs/>
                <w:szCs w:val="21"/>
              </w:rPr>
            </w:pPr>
          </w:p>
        </w:tc>
      </w:tr>
      <w:tr>
        <w:tblPrEx>
          <w:tblLayout w:type="fixed"/>
          <w:tblCellMar>
            <w:top w:w="0" w:type="dxa"/>
            <w:left w:w="0" w:type="dxa"/>
            <w:bottom w:w="0" w:type="dxa"/>
            <w:right w:w="0" w:type="dxa"/>
          </w:tblCellMar>
        </w:tblPrEx>
        <w:tc>
          <w:tcPr>
            <w:tcW w:w="981" w:type="dxa"/>
            <w:vMerge w:val="continue"/>
            <w:tcBorders>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368" w:type="dxa"/>
            <w:vMerge w:val="continue"/>
            <w:tcBorders>
              <w:left w:val="single" w:color="000000" w:sz="4" w:space="0"/>
              <w:right w:val="single" w:color="auto"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1589" w:type="dxa"/>
            <w:tcBorders>
              <w:top w:val="single" w:color="000000" w:sz="4" w:space="0"/>
              <w:left w:val="single" w:color="auto"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导热油炉</w:t>
            </w:r>
          </w:p>
        </w:tc>
        <w:tc>
          <w:tcPr>
            <w:tcW w:w="2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rPr>
                <w:rFonts w:ascii="Times New Roman" w:hAnsi="Times New Roman" w:eastAsia="宋体" w:cs="Times New Roman"/>
                <w:bCs/>
                <w:szCs w:val="21"/>
              </w:rPr>
            </w:pPr>
            <w:r>
              <w:rPr>
                <w:rFonts w:ascii="Times New Roman" w:hAnsi="Times New Roman" w:eastAsia="宋体" w:cs="Times New Roman"/>
                <w:bCs/>
                <w:szCs w:val="21"/>
              </w:rPr>
              <w:t>以天然气为燃料</w:t>
            </w:r>
          </w:p>
        </w:tc>
        <w:tc>
          <w:tcPr>
            <w:tcW w:w="1839"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SO</w:t>
            </w:r>
            <w:r>
              <w:rPr>
                <w:rFonts w:ascii="Times New Roman" w:hAnsi="Times New Roman" w:eastAsia="宋体" w:cs="Times New Roman"/>
                <w:bCs/>
                <w:szCs w:val="21"/>
                <w:vertAlign w:val="subscript"/>
              </w:rPr>
              <w:t>2</w:t>
            </w:r>
            <w:r>
              <w:rPr>
                <w:rFonts w:ascii="Times New Roman" w:hAnsi="Times New Roman" w:eastAsia="宋体" w:cs="Times New Roman"/>
                <w:bCs/>
                <w:szCs w:val="21"/>
              </w:rPr>
              <w:t>、NO</w:t>
            </w:r>
            <w:r>
              <w:rPr>
                <w:rFonts w:ascii="Times New Roman" w:hAnsi="Times New Roman" w:eastAsia="宋体" w:cs="Times New Roman"/>
                <w:bCs/>
                <w:szCs w:val="21"/>
                <w:vertAlign w:val="subscript"/>
              </w:rPr>
              <w:t>2</w:t>
            </w:r>
            <w:r>
              <w:rPr>
                <w:rFonts w:ascii="Times New Roman" w:hAnsi="Times New Roman" w:eastAsia="宋体" w:cs="Times New Roman"/>
                <w:bCs/>
                <w:szCs w:val="21"/>
              </w:rPr>
              <w:t>、PM</w:t>
            </w:r>
            <w:r>
              <w:rPr>
                <w:rFonts w:ascii="Times New Roman" w:hAnsi="Times New Roman" w:eastAsia="宋体" w:cs="Times New Roman"/>
                <w:bCs/>
                <w:szCs w:val="21"/>
                <w:vertAlign w:val="subscript"/>
              </w:rPr>
              <w:t>10</w:t>
            </w:r>
          </w:p>
        </w:tc>
        <w:tc>
          <w:tcPr>
            <w:tcW w:w="1589"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高度30m，内径0.8m</w:t>
            </w:r>
          </w:p>
        </w:tc>
        <w:tc>
          <w:tcPr>
            <w:tcW w:w="3176" w:type="dxa"/>
            <w:vMerge w:val="continue"/>
            <w:tcBorders>
              <w:left w:val="single" w:color="000000" w:sz="4" w:space="0"/>
              <w:bottom w:val="single" w:color="auto"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r>
      <w:tr>
        <w:tblPrEx>
          <w:tblLayout w:type="fixed"/>
          <w:tblCellMar>
            <w:top w:w="0" w:type="dxa"/>
            <w:left w:w="0" w:type="dxa"/>
            <w:bottom w:w="0" w:type="dxa"/>
            <w:right w:w="0" w:type="dxa"/>
          </w:tblCellMar>
        </w:tblPrEx>
        <w:tc>
          <w:tcPr>
            <w:tcW w:w="981" w:type="dxa"/>
            <w:vMerge w:val="continue"/>
            <w:tcBorders>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368" w:type="dxa"/>
            <w:vMerge w:val="continue"/>
            <w:tcBorders>
              <w:left w:val="single" w:color="000000" w:sz="4" w:space="0"/>
              <w:right w:val="single" w:color="auto"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1589" w:type="dxa"/>
            <w:tcBorders>
              <w:top w:val="single" w:color="000000" w:sz="4" w:space="0"/>
              <w:left w:val="single" w:color="auto"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罐区大小呼吸</w:t>
            </w:r>
          </w:p>
        </w:tc>
        <w:tc>
          <w:tcPr>
            <w:tcW w:w="2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rPr>
                <w:rFonts w:ascii="Times New Roman" w:hAnsi="Times New Roman" w:eastAsia="宋体" w:cs="Times New Roman"/>
                <w:bCs/>
                <w:szCs w:val="21"/>
              </w:rPr>
            </w:pPr>
            <w:r>
              <w:rPr>
                <w:rFonts w:ascii="Times New Roman" w:hAnsi="Times New Roman" w:eastAsia="宋体" w:cs="Times New Roman"/>
                <w:bCs/>
                <w:szCs w:val="21"/>
              </w:rPr>
              <w:t>收集至微生物吸附装置</w:t>
            </w:r>
          </w:p>
        </w:tc>
        <w:tc>
          <w:tcPr>
            <w:tcW w:w="1839"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非甲烷总烃</w:t>
            </w:r>
          </w:p>
        </w:tc>
        <w:tc>
          <w:tcPr>
            <w:tcW w:w="1589"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高度15m</w:t>
            </w:r>
            <w:r>
              <w:rPr>
                <w:rFonts w:hint="eastAsia" w:ascii="Times New Roman" w:hAnsi="Times New Roman" w:eastAsia="宋体" w:cs="Times New Roman"/>
                <w:bCs/>
                <w:szCs w:val="21"/>
              </w:rPr>
              <w:t>，</w:t>
            </w:r>
            <w:r>
              <w:rPr>
                <w:rFonts w:ascii="Times New Roman" w:hAnsi="Times New Roman" w:eastAsia="宋体" w:cs="Times New Roman"/>
                <w:bCs/>
                <w:szCs w:val="21"/>
              </w:rPr>
              <w:t>内径0.2m</w:t>
            </w:r>
          </w:p>
        </w:tc>
        <w:tc>
          <w:tcPr>
            <w:tcW w:w="3176" w:type="dxa"/>
            <w:tcBorders>
              <w:left w:val="single" w:color="000000" w:sz="4" w:space="0"/>
              <w:bottom w:val="single" w:color="auto" w:sz="4" w:space="0"/>
              <w:right w:val="single" w:color="000000" w:sz="4" w:space="0"/>
            </w:tcBorders>
            <w:shd w:val="clear" w:color="auto" w:fill="FFFFFF"/>
            <w:vAlign w:val="center"/>
          </w:tcPr>
          <w:p>
            <w:pPr>
              <w:adjustRightInd w:val="0"/>
              <w:snapToGrid w:val="0"/>
              <w:spacing w:line="240" w:lineRule="exact"/>
              <w:jc w:val="left"/>
              <w:rPr>
                <w:rFonts w:ascii="Times New Roman" w:hAnsi="Times New Roman" w:eastAsia="宋体" w:cs="Times New Roman"/>
                <w:bCs/>
                <w:szCs w:val="21"/>
              </w:rPr>
            </w:pPr>
            <w:r>
              <w:rPr>
                <w:rFonts w:ascii="Times New Roman" w:hAnsi="Times New Roman" w:eastAsia="宋体" w:cs="Times New Roman"/>
                <w:szCs w:val="21"/>
              </w:rPr>
              <w:t>《关于全省开展工业企业挥发性有机物专项治理工作中排放建议值的通知》（豫环攻坚办[2017]162号）</w:t>
            </w:r>
          </w:p>
        </w:tc>
      </w:tr>
      <w:tr>
        <w:tblPrEx>
          <w:tblLayout w:type="fixed"/>
          <w:tblCellMar>
            <w:top w:w="0" w:type="dxa"/>
            <w:left w:w="0" w:type="dxa"/>
            <w:bottom w:w="0" w:type="dxa"/>
            <w:right w:w="0" w:type="dxa"/>
          </w:tblCellMar>
        </w:tblPrEx>
        <w:tc>
          <w:tcPr>
            <w:tcW w:w="981" w:type="dxa"/>
            <w:vMerge w:val="continue"/>
            <w:tcBorders>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368" w:type="dxa"/>
            <w:vMerge w:val="continue"/>
            <w:tcBorders>
              <w:left w:val="single" w:color="000000" w:sz="4" w:space="0"/>
              <w:right w:val="single" w:color="auto"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1589" w:type="dxa"/>
            <w:vMerge w:val="restart"/>
            <w:tcBorders>
              <w:top w:val="single" w:color="000000" w:sz="4" w:space="0"/>
              <w:left w:val="single" w:color="auto"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污水处理站</w:t>
            </w:r>
          </w:p>
        </w:tc>
        <w:tc>
          <w:tcPr>
            <w:tcW w:w="2570" w:type="dxa"/>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rPr>
                <w:rFonts w:ascii="Times New Roman" w:hAnsi="Times New Roman" w:eastAsia="宋体" w:cs="Times New Roman"/>
                <w:bCs/>
                <w:szCs w:val="21"/>
              </w:rPr>
            </w:pPr>
            <w:r>
              <w:rPr>
                <w:rFonts w:ascii="Times New Roman" w:hAnsi="Times New Roman" w:eastAsia="宋体" w:cs="Times New Roman"/>
                <w:bCs/>
                <w:szCs w:val="21"/>
              </w:rPr>
              <w:t>经收集管道引入微生物吸附装置</w:t>
            </w:r>
          </w:p>
        </w:tc>
        <w:tc>
          <w:tcPr>
            <w:tcW w:w="1839" w:type="dxa"/>
            <w:tcBorders>
              <w:top w:val="single" w:color="auto"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非甲烷总烃</w:t>
            </w:r>
          </w:p>
        </w:tc>
        <w:tc>
          <w:tcPr>
            <w:tcW w:w="1589"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高度15m</w:t>
            </w:r>
            <w:r>
              <w:rPr>
                <w:rFonts w:hint="eastAsia" w:ascii="Times New Roman" w:hAnsi="Times New Roman" w:eastAsia="宋体" w:cs="Times New Roman"/>
                <w:bCs/>
                <w:szCs w:val="21"/>
              </w:rPr>
              <w:t>，</w:t>
            </w:r>
            <w:r>
              <w:rPr>
                <w:rFonts w:ascii="Times New Roman" w:hAnsi="Times New Roman" w:eastAsia="宋体" w:cs="Times New Roman"/>
                <w:bCs/>
                <w:szCs w:val="21"/>
              </w:rPr>
              <w:t>内径0.2m</w:t>
            </w:r>
          </w:p>
        </w:tc>
        <w:tc>
          <w:tcPr>
            <w:tcW w:w="3176" w:type="dxa"/>
            <w:tcBorders>
              <w:top w:val="single" w:color="auto"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napToGrid w:val="0"/>
              <w:spacing w:line="240" w:lineRule="exact"/>
              <w:rPr>
                <w:rFonts w:ascii="Times New Roman" w:hAnsi="Times New Roman" w:eastAsia="宋体" w:cs="Times New Roman"/>
                <w:bCs/>
                <w:szCs w:val="21"/>
              </w:rPr>
            </w:pPr>
            <w:r>
              <w:rPr>
                <w:rFonts w:ascii="Times New Roman" w:hAnsi="Times New Roman" w:eastAsia="宋体" w:cs="Times New Roman"/>
                <w:szCs w:val="21"/>
              </w:rPr>
              <w:t>《关于全省开展工业企业挥发性有机物专项治理工作中排放建议值的通知》（豫环攻坚办[2017]162号）</w:t>
            </w:r>
          </w:p>
        </w:tc>
      </w:tr>
      <w:tr>
        <w:tblPrEx>
          <w:tblLayout w:type="fixed"/>
          <w:tblCellMar>
            <w:top w:w="0" w:type="dxa"/>
            <w:left w:w="0" w:type="dxa"/>
            <w:bottom w:w="0" w:type="dxa"/>
            <w:right w:w="0" w:type="dxa"/>
          </w:tblCellMar>
        </w:tblPrEx>
        <w:tc>
          <w:tcPr>
            <w:tcW w:w="981" w:type="dxa"/>
            <w:vMerge w:val="continue"/>
            <w:tcBorders>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368" w:type="dxa"/>
            <w:vMerge w:val="continue"/>
            <w:tcBorders>
              <w:left w:val="single" w:color="000000" w:sz="4" w:space="0"/>
              <w:right w:val="single" w:color="auto"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1589" w:type="dxa"/>
            <w:vMerge w:val="continue"/>
            <w:tcBorders>
              <w:left w:val="single" w:color="auto" w:sz="4" w:space="0"/>
              <w:bottom w:val="single" w:color="auto"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2570" w:type="dxa"/>
            <w:vMerge w:val="continue"/>
            <w:tcBorders>
              <w:left w:val="single" w:color="000000" w:sz="4" w:space="0"/>
              <w:bottom w:val="single" w:color="auto" w:sz="4" w:space="0"/>
              <w:right w:val="single" w:color="000000" w:sz="4" w:space="0"/>
            </w:tcBorders>
            <w:shd w:val="clear" w:color="auto" w:fill="FFFFFF"/>
            <w:vAlign w:val="center"/>
          </w:tcPr>
          <w:p>
            <w:pPr>
              <w:autoSpaceDE w:val="0"/>
              <w:autoSpaceDN w:val="0"/>
              <w:adjustRightInd w:val="0"/>
              <w:snapToGrid w:val="0"/>
              <w:spacing w:line="240" w:lineRule="exact"/>
              <w:rPr>
                <w:rFonts w:ascii="Times New Roman" w:hAnsi="Times New Roman" w:eastAsia="宋体" w:cs="Times New Roman"/>
                <w:bCs/>
                <w:szCs w:val="21"/>
              </w:rPr>
            </w:pPr>
          </w:p>
        </w:tc>
        <w:tc>
          <w:tcPr>
            <w:tcW w:w="1839" w:type="dxa"/>
            <w:tcBorders>
              <w:top w:val="single" w:color="auto"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H</w:t>
            </w:r>
            <w:r>
              <w:rPr>
                <w:rFonts w:ascii="Times New Roman" w:hAnsi="Times New Roman" w:eastAsia="宋体" w:cs="Times New Roman"/>
                <w:bCs/>
                <w:szCs w:val="21"/>
                <w:vertAlign w:val="subscript"/>
              </w:rPr>
              <w:t>2</w:t>
            </w:r>
            <w:r>
              <w:rPr>
                <w:rFonts w:ascii="Times New Roman" w:hAnsi="Times New Roman" w:eastAsia="宋体" w:cs="Times New Roman"/>
                <w:bCs/>
                <w:szCs w:val="21"/>
              </w:rPr>
              <w:t>S、NH</w:t>
            </w:r>
            <w:r>
              <w:rPr>
                <w:rFonts w:ascii="Times New Roman" w:hAnsi="Times New Roman" w:eastAsia="宋体" w:cs="Times New Roman"/>
                <w:bCs/>
                <w:szCs w:val="21"/>
                <w:vertAlign w:val="subscript"/>
              </w:rPr>
              <w:t>3</w:t>
            </w:r>
          </w:p>
        </w:tc>
        <w:tc>
          <w:tcPr>
            <w:tcW w:w="1589" w:type="dxa"/>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3176" w:type="dxa"/>
            <w:tcBorders>
              <w:top w:val="single" w:color="auto"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napToGrid w:val="0"/>
              <w:spacing w:line="240" w:lineRule="exact"/>
              <w:rPr>
                <w:rFonts w:ascii="Times New Roman" w:hAnsi="Times New Roman" w:eastAsia="宋体" w:cs="Times New Roman"/>
                <w:bCs/>
                <w:szCs w:val="21"/>
              </w:rPr>
            </w:pPr>
            <w:r>
              <w:rPr>
                <w:rFonts w:ascii="Times New Roman" w:hAnsi="Times New Roman" w:eastAsia="宋体" w:cs="Times New Roman"/>
                <w:szCs w:val="21"/>
              </w:rPr>
              <w:t>《恶臭污染物排放标准》（GB14554-93）表2</w:t>
            </w:r>
          </w:p>
        </w:tc>
      </w:tr>
      <w:tr>
        <w:tblPrEx>
          <w:tblLayout w:type="fixed"/>
          <w:tblCellMar>
            <w:top w:w="0" w:type="dxa"/>
            <w:left w:w="0" w:type="dxa"/>
            <w:bottom w:w="0" w:type="dxa"/>
            <w:right w:w="0" w:type="dxa"/>
          </w:tblCellMar>
        </w:tblPrEx>
        <w:tc>
          <w:tcPr>
            <w:tcW w:w="981" w:type="dxa"/>
            <w:vMerge w:val="continue"/>
            <w:tcBorders>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368" w:type="dxa"/>
            <w:vMerge w:val="continue"/>
            <w:tcBorders>
              <w:left w:val="single" w:color="000000" w:sz="4" w:space="0"/>
              <w:bottom w:val="single" w:color="000000" w:sz="4" w:space="0"/>
              <w:right w:val="single" w:color="auto"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1589" w:type="dxa"/>
            <w:tcBorders>
              <w:top w:val="single" w:color="auto" w:sz="4" w:space="0"/>
              <w:left w:val="single" w:color="auto" w:sz="4" w:space="0"/>
              <w:bottom w:val="single" w:color="auto"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罐区及污水处理站臭气排气筒</w:t>
            </w:r>
          </w:p>
        </w:tc>
        <w:tc>
          <w:tcPr>
            <w:tcW w:w="2570" w:type="dxa"/>
            <w:tcBorders>
              <w:top w:val="single" w:color="auto"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napToGrid w:val="0"/>
              <w:spacing w:line="240" w:lineRule="exact"/>
              <w:rPr>
                <w:rFonts w:ascii="Times New Roman" w:hAnsi="Times New Roman" w:eastAsia="宋体" w:cs="Times New Roman"/>
                <w:bCs/>
                <w:szCs w:val="21"/>
              </w:rPr>
            </w:pPr>
            <w:r>
              <w:rPr>
                <w:rFonts w:ascii="Times New Roman" w:hAnsi="Times New Roman" w:eastAsia="宋体" w:cs="Times New Roman"/>
                <w:bCs/>
                <w:szCs w:val="21"/>
              </w:rPr>
              <w:t>在线监测</w:t>
            </w:r>
          </w:p>
        </w:tc>
        <w:tc>
          <w:tcPr>
            <w:tcW w:w="1839" w:type="dxa"/>
            <w:tcBorders>
              <w:top w:val="single" w:color="auto"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非甲烷总烃</w:t>
            </w:r>
          </w:p>
        </w:tc>
        <w:tc>
          <w:tcPr>
            <w:tcW w:w="1589" w:type="dxa"/>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w:t>
            </w:r>
          </w:p>
        </w:tc>
        <w:tc>
          <w:tcPr>
            <w:tcW w:w="3176" w:type="dxa"/>
            <w:tcBorders>
              <w:top w:val="single" w:color="auto"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napToGrid w:val="0"/>
              <w:spacing w:line="240" w:lineRule="exact"/>
              <w:rPr>
                <w:rFonts w:ascii="Times New Roman" w:hAnsi="Times New Roman" w:eastAsia="宋体" w:cs="Times New Roman"/>
                <w:szCs w:val="21"/>
              </w:rPr>
            </w:pPr>
            <w:r>
              <w:rPr>
                <w:rFonts w:ascii="Times New Roman" w:hAnsi="Times New Roman" w:eastAsia="宋体" w:cs="Times New Roman"/>
                <w:szCs w:val="21"/>
              </w:rPr>
              <w:t>《关于全省开展工业企业挥发性有机物专项治理工作中排放建议值的通知》（豫环攻坚办[2017]162号）</w:t>
            </w:r>
          </w:p>
        </w:tc>
      </w:tr>
      <w:tr>
        <w:tblPrEx>
          <w:tblLayout w:type="fixed"/>
          <w:tblCellMar>
            <w:top w:w="0" w:type="dxa"/>
            <w:left w:w="0" w:type="dxa"/>
            <w:bottom w:w="0" w:type="dxa"/>
            <w:right w:w="0" w:type="dxa"/>
          </w:tblCellMar>
        </w:tblPrEx>
        <w:tc>
          <w:tcPr>
            <w:tcW w:w="981" w:type="dxa"/>
            <w:vMerge w:val="continue"/>
            <w:tcBorders>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1957" w:type="dxa"/>
            <w:gridSpan w:val="2"/>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无组织厂界监控点</w:t>
            </w:r>
          </w:p>
        </w:tc>
        <w:tc>
          <w:tcPr>
            <w:tcW w:w="2570" w:type="dxa"/>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rPr>
                <w:rFonts w:ascii="Times New Roman" w:hAnsi="Times New Roman" w:eastAsia="宋体" w:cs="Times New Roman"/>
                <w:bCs/>
                <w:szCs w:val="21"/>
              </w:rPr>
            </w:pPr>
            <w:r>
              <w:rPr>
                <w:rFonts w:ascii="Times New Roman" w:hAnsi="Times New Roman" w:eastAsia="宋体" w:cs="Times New Roman"/>
                <w:bCs/>
                <w:szCs w:val="21"/>
              </w:rPr>
              <w:t>加强厂区绿化</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非甲烷总烃</w:t>
            </w:r>
          </w:p>
        </w:tc>
        <w:tc>
          <w:tcPr>
            <w:tcW w:w="4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bCs/>
                <w:szCs w:val="21"/>
              </w:rPr>
            </w:pPr>
            <w:r>
              <w:rPr>
                <w:rFonts w:ascii="Times New Roman" w:hAnsi="Times New Roman" w:eastAsia="宋体" w:cs="Times New Roman"/>
                <w:bCs/>
                <w:szCs w:val="21"/>
              </w:rPr>
              <w:t>《关于全省开展工业企业挥发性有机物专项治理工作中排放建议值的通知》（豫环攻坚办[2017]162号）</w:t>
            </w:r>
          </w:p>
        </w:tc>
      </w:tr>
      <w:tr>
        <w:tblPrEx>
          <w:tblLayout w:type="fixed"/>
          <w:tblCellMar>
            <w:top w:w="0" w:type="dxa"/>
            <w:left w:w="0" w:type="dxa"/>
            <w:bottom w:w="0" w:type="dxa"/>
            <w:right w:w="0" w:type="dxa"/>
          </w:tblCellMar>
        </w:tblPrEx>
        <w:tc>
          <w:tcPr>
            <w:tcW w:w="981" w:type="dxa"/>
            <w:vMerge w:val="continue"/>
            <w:tcBorders>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1957" w:type="dxa"/>
            <w:gridSpan w:val="2"/>
            <w:vMerge w:val="continue"/>
            <w:tcBorders>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2570" w:type="dxa"/>
            <w:vMerge w:val="continue"/>
            <w:tcBorders>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rPr>
                <w:rFonts w:ascii="Times New Roman" w:hAnsi="Times New Roman" w:eastAsia="宋体" w:cs="Times New Roman"/>
                <w:bCs/>
                <w:szCs w:val="21"/>
              </w:rPr>
            </w:pP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H</w:t>
            </w:r>
            <w:r>
              <w:rPr>
                <w:rFonts w:ascii="Times New Roman" w:hAnsi="Times New Roman" w:eastAsia="宋体" w:cs="Times New Roman"/>
                <w:bCs/>
                <w:szCs w:val="21"/>
                <w:vertAlign w:val="subscript"/>
              </w:rPr>
              <w:t>2</w:t>
            </w:r>
            <w:r>
              <w:rPr>
                <w:rFonts w:ascii="Times New Roman" w:hAnsi="Times New Roman" w:eastAsia="宋体" w:cs="Times New Roman"/>
                <w:bCs/>
                <w:szCs w:val="21"/>
              </w:rPr>
              <w:t>S</w:t>
            </w:r>
          </w:p>
        </w:tc>
        <w:tc>
          <w:tcPr>
            <w:tcW w:w="4765" w:type="dxa"/>
            <w:gridSpan w:val="2"/>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rPr>
                <w:rFonts w:ascii="Times New Roman" w:hAnsi="Times New Roman" w:eastAsia="宋体" w:cs="Times New Roman"/>
                <w:bCs/>
                <w:szCs w:val="21"/>
              </w:rPr>
            </w:pPr>
            <w:r>
              <w:rPr>
                <w:rFonts w:ascii="Times New Roman" w:hAnsi="Times New Roman" w:eastAsia="宋体" w:cs="Times New Roman"/>
                <w:bCs/>
                <w:szCs w:val="21"/>
              </w:rPr>
              <w:t>《恶臭污染物排放标准》（GB14554-93）二级标准</w:t>
            </w:r>
          </w:p>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《恶臭污染物排放标准》（GB14554-93）二级标准</w:t>
            </w:r>
          </w:p>
        </w:tc>
      </w:tr>
      <w:tr>
        <w:tblPrEx>
          <w:tblLayout w:type="fixed"/>
          <w:tblCellMar>
            <w:top w:w="0" w:type="dxa"/>
            <w:left w:w="0" w:type="dxa"/>
            <w:bottom w:w="0" w:type="dxa"/>
            <w:right w:w="0" w:type="dxa"/>
          </w:tblCellMar>
        </w:tblPrEx>
        <w:tc>
          <w:tcPr>
            <w:tcW w:w="981" w:type="dxa"/>
            <w:vMerge w:val="continue"/>
            <w:tcBorders>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1957" w:type="dxa"/>
            <w:gridSpan w:val="2"/>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2570" w:type="dxa"/>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rPr>
                <w:rFonts w:ascii="Times New Roman" w:hAnsi="Times New Roman" w:eastAsia="宋体" w:cs="Times New Roman"/>
                <w:bCs/>
                <w:szCs w:val="21"/>
              </w:rPr>
            </w:pP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NH</w:t>
            </w:r>
            <w:r>
              <w:rPr>
                <w:rFonts w:ascii="Times New Roman" w:hAnsi="Times New Roman" w:eastAsia="宋体" w:cs="Times New Roman"/>
                <w:bCs/>
                <w:szCs w:val="21"/>
                <w:vertAlign w:val="subscript"/>
              </w:rPr>
              <w:t>3</w:t>
            </w:r>
          </w:p>
        </w:tc>
        <w:tc>
          <w:tcPr>
            <w:tcW w:w="4765" w:type="dxa"/>
            <w:gridSpan w:val="2"/>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r>
      <w:tr>
        <w:tblPrEx>
          <w:tblLayout w:type="fixed"/>
          <w:tblCellMar>
            <w:top w:w="0" w:type="dxa"/>
            <w:left w:w="0" w:type="dxa"/>
            <w:bottom w:w="0" w:type="dxa"/>
            <w:right w:w="0" w:type="dxa"/>
          </w:tblCellMar>
        </w:tblPrEx>
        <w:tc>
          <w:tcPr>
            <w:tcW w:w="981" w:type="dxa"/>
            <w:vMerge w:val="continue"/>
            <w:tcBorders>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非正常状态</w:t>
            </w:r>
          </w:p>
        </w:tc>
        <w:tc>
          <w:tcPr>
            <w:tcW w:w="2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rPr>
                <w:rFonts w:ascii="Times New Roman" w:hAnsi="Times New Roman" w:eastAsia="宋体" w:cs="Times New Roman"/>
                <w:bCs/>
                <w:szCs w:val="21"/>
              </w:rPr>
            </w:pPr>
            <w:r>
              <w:rPr>
                <w:rFonts w:ascii="Times New Roman" w:hAnsi="Times New Roman" w:eastAsia="宋体" w:cs="Times New Roman"/>
                <w:bCs/>
                <w:szCs w:val="21"/>
              </w:rPr>
              <w:t>20t/h地面火炬</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w:t>
            </w:r>
          </w:p>
        </w:tc>
        <w:tc>
          <w:tcPr>
            <w:tcW w:w="4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w:t>
            </w:r>
          </w:p>
        </w:tc>
      </w:tr>
      <w:tr>
        <w:tblPrEx>
          <w:tblLayout w:type="fixed"/>
          <w:tblCellMar>
            <w:top w:w="0" w:type="dxa"/>
            <w:left w:w="0" w:type="dxa"/>
            <w:bottom w:w="0" w:type="dxa"/>
            <w:right w:w="0" w:type="dxa"/>
          </w:tblCellMar>
        </w:tblPrEx>
        <w:tc>
          <w:tcPr>
            <w:tcW w:w="981" w:type="dxa"/>
            <w:vMerge w:val="continue"/>
            <w:tcBorders>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罐区</w:t>
            </w:r>
          </w:p>
        </w:tc>
        <w:tc>
          <w:tcPr>
            <w:tcW w:w="2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rPr>
                <w:rFonts w:ascii="Times New Roman" w:hAnsi="Times New Roman" w:eastAsia="宋体" w:cs="Times New Roman"/>
                <w:bCs/>
                <w:szCs w:val="21"/>
              </w:rPr>
            </w:pPr>
            <w:r>
              <w:rPr>
                <w:rFonts w:ascii="Times New Roman" w:hAnsi="Times New Roman" w:eastAsia="宋体" w:cs="Times New Roman"/>
                <w:bCs/>
                <w:szCs w:val="21"/>
              </w:rPr>
              <w:t>储罐气相平衡管、油储罐内浮顶、油气回收装置、泄露检测与修复（LDAR）</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w:t>
            </w:r>
          </w:p>
        </w:tc>
        <w:tc>
          <w:tcPr>
            <w:tcW w:w="4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bCs/>
                <w:szCs w:val="21"/>
              </w:rPr>
            </w:pPr>
            <w:r>
              <w:rPr>
                <w:rFonts w:ascii="Times New Roman" w:hAnsi="Times New Roman" w:eastAsia="宋体" w:cs="Times New Roman"/>
                <w:bCs/>
                <w:szCs w:val="21"/>
              </w:rPr>
              <w:t>《储油库大气污染物排放标准》（GB 20950-2007）的处理装置油气排放限值：油气排放浓度≤25g/m</w:t>
            </w:r>
            <w:r>
              <w:rPr>
                <w:rFonts w:ascii="Times New Roman" w:hAnsi="Times New Roman" w:eastAsia="宋体" w:cs="Times New Roman"/>
                <w:bCs/>
                <w:szCs w:val="21"/>
                <w:vertAlign w:val="superscript"/>
              </w:rPr>
              <w:t>3</w:t>
            </w:r>
            <w:r>
              <w:rPr>
                <w:rFonts w:ascii="Times New Roman" w:hAnsi="Times New Roman" w:eastAsia="宋体" w:cs="Times New Roman"/>
                <w:bCs/>
                <w:szCs w:val="21"/>
              </w:rPr>
              <w:t>，油气处理效率≥95%</w:t>
            </w:r>
          </w:p>
        </w:tc>
      </w:tr>
      <w:tr>
        <w:tblPrEx>
          <w:tblLayout w:type="fixed"/>
          <w:tblCellMar>
            <w:top w:w="0" w:type="dxa"/>
            <w:left w:w="0" w:type="dxa"/>
            <w:bottom w:w="0" w:type="dxa"/>
            <w:right w:w="0" w:type="dxa"/>
          </w:tblCellMar>
        </w:tblPrEx>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废水</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废水排放口</w:t>
            </w:r>
          </w:p>
        </w:tc>
        <w:tc>
          <w:tcPr>
            <w:tcW w:w="2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rPr>
                <w:rFonts w:ascii="Times New Roman" w:hAnsi="Times New Roman" w:eastAsia="宋体" w:cs="Times New Roman"/>
                <w:bCs/>
                <w:szCs w:val="21"/>
              </w:rPr>
            </w:pPr>
            <w:r>
              <w:rPr>
                <w:rFonts w:ascii="Times New Roman" w:hAnsi="Times New Roman" w:eastAsia="宋体" w:cs="Times New Roman"/>
                <w:bCs/>
                <w:szCs w:val="21"/>
              </w:rPr>
              <w:t>采取“隔油+油水分离+混凝沉淀+气浮+高级氧化+水解酸化+UASB+A/O+MBR”的处理工艺</w:t>
            </w:r>
          </w:p>
        </w:tc>
        <w:tc>
          <w:tcPr>
            <w:tcW w:w="1839"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pH、COD、氨氮、石油类、SS、硫化物、总磷、总氮</w:t>
            </w:r>
          </w:p>
        </w:tc>
        <w:tc>
          <w:tcPr>
            <w:tcW w:w="4765" w:type="dxa"/>
            <w:gridSpan w:val="2"/>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bCs/>
                <w:szCs w:val="21"/>
              </w:rPr>
            </w:pPr>
            <w:r>
              <w:rPr>
                <w:rFonts w:hint="eastAsia" w:ascii="Times New Roman" w:hAnsi="Times New Roman" w:eastAsia="宋体" w:cs="Times New Roman"/>
                <w:bCs/>
                <w:szCs w:val="21"/>
              </w:rPr>
              <w:t>濮阳市第二污水处理厂收水标准及</w:t>
            </w:r>
            <w:r>
              <w:rPr>
                <w:rFonts w:ascii="Times New Roman" w:hAnsi="Times New Roman" w:eastAsia="宋体" w:cs="Times New Roman"/>
                <w:bCs/>
                <w:szCs w:val="21"/>
              </w:rPr>
              <w:t>《污水综合排放标准》（GB8978-1996）表4二级标准</w:t>
            </w:r>
          </w:p>
        </w:tc>
      </w:tr>
      <w:tr>
        <w:tblPrEx>
          <w:tblLayout w:type="fixed"/>
          <w:tblCellMar>
            <w:top w:w="0" w:type="dxa"/>
            <w:left w:w="0" w:type="dxa"/>
            <w:bottom w:w="0" w:type="dxa"/>
            <w:right w:w="0" w:type="dxa"/>
          </w:tblCellMar>
        </w:tblPrEx>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噪声</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厂界边界</w:t>
            </w:r>
          </w:p>
        </w:tc>
        <w:tc>
          <w:tcPr>
            <w:tcW w:w="2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rPr>
                <w:rFonts w:ascii="Times New Roman" w:hAnsi="Times New Roman" w:eastAsia="宋体" w:cs="Times New Roman"/>
                <w:bCs/>
                <w:szCs w:val="21"/>
              </w:rPr>
            </w:pPr>
            <w:r>
              <w:rPr>
                <w:rFonts w:ascii="Times New Roman" w:hAnsi="Times New Roman" w:eastAsia="宋体" w:cs="Times New Roman"/>
                <w:bCs/>
                <w:szCs w:val="21"/>
              </w:rPr>
              <w:t>选用低噪声设备、建筑隔声、消声器、减震等</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等效连续 A 声级</w:t>
            </w:r>
          </w:p>
        </w:tc>
        <w:tc>
          <w:tcPr>
            <w:tcW w:w="4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rPr>
                <w:rFonts w:ascii="Times New Roman" w:hAnsi="Times New Roman" w:eastAsia="宋体" w:cs="Times New Roman"/>
                <w:bCs/>
                <w:szCs w:val="21"/>
              </w:rPr>
            </w:pPr>
            <w:r>
              <w:rPr>
                <w:rFonts w:ascii="Times New Roman" w:hAnsi="Times New Roman" w:eastAsia="宋体" w:cs="Times New Roman"/>
                <w:bCs/>
                <w:szCs w:val="21"/>
              </w:rPr>
              <w:t>《工业企业厂界环境噪声排放标准》(GB12348-2008)中 3 类和4类标准</w:t>
            </w:r>
          </w:p>
        </w:tc>
      </w:tr>
      <w:tr>
        <w:tblPrEx>
          <w:tblLayout w:type="fixed"/>
          <w:tblCellMar>
            <w:top w:w="0" w:type="dxa"/>
            <w:left w:w="0" w:type="dxa"/>
            <w:bottom w:w="0" w:type="dxa"/>
            <w:right w:w="0" w:type="dxa"/>
          </w:tblCellMar>
        </w:tblPrEx>
        <w:tc>
          <w:tcPr>
            <w:tcW w:w="981" w:type="dxa"/>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固废</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危险废物</w:t>
            </w:r>
          </w:p>
        </w:tc>
        <w:tc>
          <w:tcPr>
            <w:tcW w:w="2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rPr>
                <w:rFonts w:ascii="Times New Roman" w:hAnsi="Times New Roman" w:eastAsia="宋体" w:cs="Times New Roman"/>
                <w:bCs/>
                <w:szCs w:val="21"/>
              </w:rPr>
            </w:pPr>
            <w:r>
              <w:rPr>
                <w:rFonts w:ascii="Times New Roman" w:hAnsi="Times New Roman" w:eastAsia="宋体" w:cs="Times New Roman"/>
                <w:bCs/>
                <w:szCs w:val="21"/>
              </w:rPr>
              <w:t>一间200m</w:t>
            </w:r>
            <w:r>
              <w:rPr>
                <w:rFonts w:ascii="Times New Roman" w:hAnsi="Times New Roman" w:eastAsia="宋体" w:cs="Times New Roman"/>
                <w:bCs/>
                <w:szCs w:val="21"/>
                <w:vertAlign w:val="superscript"/>
              </w:rPr>
              <w:t>2</w:t>
            </w:r>
            <w:r>
              <w:rPr>
                <w:rFonts w:ascii="Times New Roman" w:hAnsi="Times New Roman" w:eastAsia="宋体" w:cs="Times New Roman"/>
                <w:bCs/>
                <w:szCs w:val="21"/>
              </w:rPr>
              <w:t>危废暂存间</w:t>
            </w:r>
          </w:p>
        </w:tc>
        <w:tc>
          <w:tcPr>
            <w:tcW w:w="1839"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w:t>
            </w:r>
          </w:p>
        </w:tc>
        <w:tc>
          <w:tcPr>
            <w:tcW w:w="4765"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napToGrid w:val="0"/>
              <w:spacing w:line="240" w:lineRule="exact"/>
              <w:rPr>
                <w:rFonts w:ascii="Times New Roman" w:hAnsi="Times New Roman" w:eastAsia="宋体" w:cs="Times New Roman"/>
                <w:bCs/>
                <w:szCs w:val="21"/>
              </w:rPr>
            </w:pPr>
            <w:r>
              <w:rPr>
                <w:rFonts w:ascii="Times New Roman" w:hAnsi="Times New Roman" w:eastAsia="宋体" w:cs="Times New Roman"/>
                <w:bCs/>
                <w:szCs w:val="21"/>
              </w:rPr>
              <w:t>《危险废物贮存污染控制标准》（GB18597-2001）及2013年修改单</w:t>
            </w:r>
          </w:p>
        </w:tc>
      </w:tr>
      <w:tr>
        <w:tblPrEx>
          <w:tblLayout w:type="fixed"/>
          <w:tblCellMar>
            <w:top w:w="0" w:type="dxa"/>
            <w:left w:w="0" w:type="dxa"/>
            <w:bottom w:w="0" w:type="dxa"/>
            <w:right w:w="0" w:type="dxa"/>
          </w:tblCellMar>
        </w:tblPrEx>
        <w:tc>
          <w:tcPr>
            <w:tcW w:w="981" w:type="dxa"/>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生活垃圾</w:t>
            </w:r>
          </w:p>
        </w:tc>
        <w:tc>
          <w:tcPr>
            <w:tcW w:w="2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rPr>
                <w:rFonts w:ascii="Times New Roman" w:hAnsi="Times New Roman" w:eastAsia="宋体" w:cs="Times New Roman"/>
                <w:bCs/>
                <w:szCs w:val="21"/>
              </w:rPr>
            </w:pPr>
            <w:r>
              <w:rPr>
                <w:rFonts w:ascii="Times New Roman" w:hAnsi="Times New Roman" w:eastAsia="宋体" w:cs="Times New Roman"/>
                <w:bCs/>
                <w:szCs w:val="21"/>
              </w:rPr>
              <w:t>交市政环卫部门处理</w:t>
            </w:r>
          </w:p>
        </w:tc>
        <w:tc>
          <w:tcPr>
            <w:tcW w:w="1839" w:type="dxa"/>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w:t>
            </w:r>
          </w:p>
        </w:tc>
        <w:tc>
          <w:tcPr>
            <w:tcW w:w="4765"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《一般工业固体废物贮存、处置场污染控制标准》（GB18599-2001）及2013年修改单</w:t>
            </w:r>
          </w:p>
        </w:tc>
      </w:tr>
      <w:tr>
        <w:tblPrEx>
          <w:tblLayout w:type="fixed"/>
          <w:tblCellMar>
            <w:top w:w="0" w:type="dxa"/>
            <w:left w:w="0" w:type="dxa"/>
            <w:bottom w:w="0" w:type="dxa"/>
            <w:right w:w="0" w:type="dxa"/>
          </w:tblCellMar>
        </w:tblPrEx>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地下水</w:t>
            </w:r>
          </w:p>
        </w:tc>
        <w:tc>
          <w:tcPr>
            <w:tcW w:w="45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重点污染防治区、一般污染防治区地面防渗等措施，</w:t>
            </w:r>
            <w:r>
              <w:rPr>
                <w:rFonts w:ascii="Times New Roman" w:hAnsi="Times New Roman" w:eastAsia="宋体" w:cs="Times New Roman"/>
                <w:bCs/>
                <w:szCs w:val="21"/>
              </w:rPr>
              <w:t>厂区储罐区和污水处理站预留监控井</w:t>
            </w:r>
          </w:p>
        </w:tc>
        <w:tc>
          <w:tcPr>
            <w:tcW w:w="1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pH、氨氮、硝酸盐、亚硝酸盐、挥发酚、COD</w:t>
            </w:r>
            <w:r>
              <w:rPr>
                <w:rFonts w:ascii="Times New Roman" w:hAnsi="Times New Roman" w:eastAsia="宋体" w:cs="Times New Roman"/>
                <w:bCs/>
                <w:szCs w:val="21"/>
                <w:vertAlign w:val="subscript"/>
              </w:rPr>
              <w:t>Mn</w:t>
            </w:r>
            <w:r>
              <w:rPr>
                <w:rFonts w:ascii="Times New Roman" w:hAnsi="Times New Roman" w:eastAsia="宋体" w:cs="Times New Roman"/>
                <w:bCs/>
                <w:szCs w:val="21"/>
              </w:rPr>
              <w:t>、硫酸盐、粪大肠菌群、石油类</w:t>
            </w:r>
          </w:p>
        </w:tc>
        <w:tc>
          <w:tcPr>
            <w:tcW w:w="4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left"/>
              <w:rPr>
                <w:rFonts w:ascii="Times New Roman" w:hAnsi="Times New Roman" w:eastAsia="宋体" w:cs="Times New Roman"/>
                <w:bCs/>
                <w:szCs w:val="21"/>
              </w:rPr>
            </w:pPr>
            <w:r>
              <w:rPr>
                <w:rFonts w:ascii="Times New Roman" w:hAnsi="Times New Roman" w:eastAsia="宋体" w:cs="Times New Roman"/>
                <w:bCs/>
                <w:szCs w:val="21"/>
              </w:rPr>
              <w:t>《地下水质量标准》（GB/T14848-2017）中</w:t>
            </w:r>
            <w:r>
              <w:rPr>
                <w:rFonts w:hint="eastAsia" w:ascii="宋体" w:hAnsi="宋体" w:eastAsia="宋体" w:cs="宋体"/>
                <w:bCs/>
                <w:szCs w:val="21"/>
              </w:rPr>
              <w:t>Ⅲ</w:t>
            </w:r>
            <w:r>
              <w:rPr>
                <w:rFonts w:ascii="Times New Roman" w:hAnsi="Times New Roman" w:eastAsia="宋体" w:cs="Times New Roman"/>
                <w:bCs/>
                <w:szCs w:val="21"/>
              </w:rPr>
              <w:t>类标准、石油类参照执行《地表水环境质量标准》（GB3838-2002）中</w:t>
            </w:r>
            <w:r>
              <w:rPr>
                <w:rFonts w:hint="eastAsia" w:ascii="宋体" w:hAnsi="宋体" w:eastAsia="宋体" w:cs="宋体"/>
                <w:bCs/>
                <w:szCs w:val="21"/>
              </w:rPr>
              <w:t>Ⅲ</w:t>
            </w:r>
            <w:r>
              <w:rPr>
                <w:rFonts w:ascii="Times New Roman" w:hAnsi="Times New Roman" w:eastAsia="宋体" w:cs="Times New Roman"/>
                <w:bCs/>
                <w:szCs w:val="21"/>
              </w:rPr>
              <w:t>类标准</w:t>
            </w:r>
          </w:p>
        </w:tc>
      </w:tr>
      <w:tr>
        <w:tblPrEx>
          <w:tblLayout w:type="fixed"/>
          <w:tblCellMar>
            <w:top w:w="0" w:type="dxa"/>
            <w:left w:w="0" w:type="dxa"/>
            <w:bottom w:w="0" w:type="dxa"/>
            <w:right w:w="0" w:type="dxa"/>
          </w:tblCellMar>
        </w:tblPrEx>
        <w:tc>
          <w:tcPr>
            <w:tcW w:w="981" w:type="dxa"/>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风险防范</w:t>
            </w:r>
          </w:p>
        </w:tc>
        <w:tc>
          <w:tcPr>
            <w:tcW w:w="4527"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初期雨水池</w:t>
            </w:r>
          </w:p>
        </w:tc>
        <w:tc>
          <w:tcPr>
            <w:tcW w:w="1839" w:type="dxa"/>
            <w:tcBorders>
              <w:top w:val="single" w:color="000000" w:sz="4" w:space="0"/>
              <w:left w:val="single" w:color="auto"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200</w:t>
            </w:r>
            <w:r>
              <w:rPr>
                <w:rFonts w:ascii="Times New Roman" w:hAnsi="Times New Roman" w:eastAsia="宋体" w:cs="Times New Roman"/>
                <w:bCs/>
                <w:szCs w:val="21"/>
              </w:rPr>
              <w:t>m</w:t>
            </w:r>
            <w:r>
              <w:rPr>
                <w:rFonts w:ascii="Times New Roman" w:hAnsi="Times New Roman" w:eastAsia="宋体" w:cs="Times New Roman"/>
                <w:bCs/>
                <w:szCs w:val="21"/>
                <w:vertAlign w:val="superscript"/>
              </w:rPr>
              <w:t>3</w:t>
            </w:r>
          </w:p>
        </w:tc>
        <w:tc>
          <w:tcPr>
            <w:tcW w:w="4765" w:type="dxa"/>
            <w:gridSpan w:val="2"/>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w:t>
            </w:r>
          </w:p>
        </w:tc>
      </w:tr>
      <w:tr>
        <w:tblPrEx>
          <w:tblLayout w:type="fixed"/>
          <w:tblCellMar>
            <w:top w:w="0" w:type="dxa"/>
            <w:left w:w="0" w:type="dxa"/>
            <w:bottom w:w="0" w:type="dxa"/>
            <w:right w:w="0" w:type="dxa"/>
          </w:tblCellMar>
        </w:tblPrEx>
        <w:tc>
          <w:tcPr>
            <w:tcW w:w="981" w:type="dxa"/>
            <w:vMerge w:val="continue"/>
            <w:tcBorders>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4527"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事故应急池</w:t>
            </w:r>
          </w:p>
        </w:tc>
        <w:tc>
          <w:tcPr>
            <w:tcW w:w="1839" w:type="dxa"/>
            <w:tcBorders>
              <w:top w:val="single" w:color="000000" w:sz="4" w:space="0"/>
              <w:left w:val="single" w:color="auto"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2000m</w:t>
            </w:r>
            <w:r>
              <w:rPr>
                <w:rFonts w:ascii="Times New Roman" w:hAnsi="Times New Roman" w:eastAsia="宋体" w:cs="Times New Roman"/>
                <w:bCs/>
                <w:szCs w:val="21"/>
                <w:vertAlign w:val="superscript"/>
              </w:rPr>
              <w:t>3</w:t>
            </w:r>
          </w:p>
        </w:tc>
        <w:tc>
          <w:tcPr>
            <w:tcW w:w="4765" w:type="dxa"/>
            <w:gridSpan w:val="2"/>
            <w:vMerge w:val="continue"/>
            <w:tcBorders>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r>
      <w:tr>
        <w:tblPrEx>
          <w:tblLayout w:type="fixed"/>
          <w:tblCellMar>
            <w:top w:w="0" w:type="dxa"/>
            <w:left w:w="0" w:type="dxa"/>
            <w:bottom w:w="0" w:type="dxa"/>
            <w:right w:w="0" w:type="dxa"/>
          </w:tblCellMar>
        </w:tblPrEx>
        <w:tc>
          <w:tcPr>
            <w:tcW w:w="981" w:type="dxa"/>
            <w:vMerge w:val="continue"/>
            <w:tcBorders>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4527"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气体报警系统和喷淋装置</w:t>
            </w:r>
          </w:p>
        </w:tc>
        <w:tc>
          <w:tcPr>
            <w:tcW w:w="1839" w:type="dxa"/>
            <w:tcBorders>
              <w:top w:val="single" w:color="000000" w:sz="4" w:space="0"/>
              <w:left w:val="single" w:color="auto"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28套</w:t>
            </w:r>
          </w:p>
        </w:tc>
        <w:tc>
          <w:tcPr>
            <w:tcW w:w="4765" w:type="dxa"/>
            <w:gridSpan w:val="2"/>
            <w:vMerge w:val="continue"/>
            <w:tcBorders>
              <w:left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r>
      <w:tr>
        <w:tblPrEx>
          <w:tblLayout w:type="fixed"/>
          <w:tblCellMar>
            <w:top w:w="0" w:type="dxa"/>
            <w:left w:w="0" w:type="dxa"/>
            <w:bottom w:w="0" w:type="dxa"/>
            <w:right w:w="0" w:type="dxa"/>
          </w:tblCellMar>
        </w:tblPrEx>
        <w:tc>
          <w:tcPr>
            <w:tcW w:w="981" w:type="dxa"/>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c>
          <w:tcPr>
            <w:tcW w:w="4527"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各类灭火器等</w:t>
            </w:r>
          </w:p>
        </w:tc>
        <w:tc>
          <w:tcPr>
            <w:tcW w:w="1839" w:type="dxa"/>
            <w:tcBorders>
              <w:top w:val="single" w:color="000000" w:sz="4" w:space="0"/>
              <w:left w:val="single" w:color="auto"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若干</w:t>
            </w:r>
          </w:p>
        </w:tc>
        <w:tc>
          <w:tcPr>
            <w:tcW w:w="4765" w:type="dxa"/>
            <w:gridSpan w:val="2"/>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p>
        </w:tc>
      </w:tr>
      <w:tr>
        <w:tblPrEx>
          <w:tblLayout w:type="fixed"/>
          <w:tblCellMar>
            <w:top w:w="0" w:type="dxa"/>
            <w:left w:w="0" w:type="dxa"/>
            <w:bottom w:w="0" w:type="dxa"/>
            <w:right w:w="0" w:type="dxa"/>
          </w:tblCellMar>
        </w:tblPrEx>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绿化</w:t>
            </w:r>
          </w:p>
        </w:tc>
        <w:tc>
          <w:tcPr>
            <w:tcW w:w="4527" w:type="dxa"/>
            <w:gridSpan w:val="3"/>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厂区绿化（植物种草等）</w:t>
            </w:r>
          </w:p>
        </w:tc>
        <w:tc>
          <w:tcPr>
            <w:tcW w:w="183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napToGrid w:val="0"/>
              <w:spacing w:line="240" w:lineRule="exact"/>
              <w:jc w:val="center"/>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47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napToGrid w:val="0"/>
              <w:spacing w:line="240" w:lineRule="exact"/>
              <w:jc w:val="center"/>
              <w:rPr>
                <w:rFonts w:ascii="Times New Roman" w:hAnsi="Times New Roman" w:eastAsia="宋体" w:cs="Times New Roman"/>
                <w:bCs/>
                <w:szCs w:val="21"/>
              </w:rPr>
            </w:pPr>
            <w:r>
              <w:rPr>
                <w:rFonts w:ascii="Times New Roman" w:hAnsi="Times New Roman" w:eastAsia="宋体" w:cs="Times New Roman"/>
                <w:bCs/>
                <w:szCs w:val="21"/>
              </w:rPr>
              <w:t>15%</w:t>
            </w:r>
          </w:p>
        </w:tc>
      </w:tr>
    </w:tbl>
    <w:p>
      <w:pPr>
        <w:pStyle w:val="24"/>
        <w:ind w:firstLine="0" w:firstLineChars="0"/>
        <w:rPr>
          <w:color w:val="auto"/>
          <w:sz w:val="21"/>
          <w:szCs w:val="21"/>
        </w:rPr>
      </w:pPr>
    </w:p>
    <w:p>
      <w:pPr>
        <w:sectPr>
          <w:pgSz w:w="16838" w:h="11906" w:orient="landscape"/>
          <w:pgMar w:top="1800" w:right="1440" w:bottom="1800" w:left="1440" w:header="851" w:footer="992" w:gutter="0"/>
          <w:cols w:space="425" w:num="1"/>
          <w:docGrid w:type="lines" w:linePitch="312" w:charSpace="0"/>
        </w:sectPr>
      </w:pPr>
    </w:p>
    <w:p>
      <w:pPr>
        <w:pStyle w:val="38"/>
      </w:pPr>
      <w:bookmarkStart w:id="109" w:name="_Toc8391584"/>
      <w:r>
        <w:rPr>
          <w:rFonts w:hint="eastAsia"/>
        </w:rPr>
        <w:t>6</w:t>
      </w:r>
      <w:r>
        <w:t xml:space="preserve"> </w:t>
      </w:r>
      <w:r>
        <w:rPr>
          <w:rFonts w:hint="eastAsia"/>
        </w:rPr>
        <w:t>变更前后总量控制分析</w:t>
      </w:r>
      <w:bookmarkEnd w:id="109"/>
    </w:p>
    <w:p>
      <w:pPr>
        <w:pStyle w:val="39"/>
        <w:rPr>
          <w:color w:val="auto"/>
        </w:rPr>
      </w:pPr>
      <w:bookmarkStart w:id="110" w:name="_Toc512973725"/>
      <w:bookmarkStart w:id="111" w:name="_Toc8391585"/>
      <w:r>
        <w:rPr>
          <w:color w:val="auto"/>
        </w:rPr>
        <w:t>6</w:t>
      </w:r>
      <w:r>
        <w:rPr>
          <w:rFonts w:hint="eastAsia"/>
          <w:color w:val="auto"/>
        </w:rPr>
        <w:t>.</w:t>
      </w:r>
      <w:r>
        <w:rPr>
          <w:color w:val="auto"/>
        </w:rPr>
        <w:t>1</w:t>
      </w:r>
      <w:r>
        <w:rPr>
          <w:rFonts w:hint="eastAsia"/>
          <w:color w:val="auto"/>
        </w:rPr>
        <w:t>变更前后水污染总量指标</w:t>
      </w:r>
      <w:bookmarkEnd w:id="110"/>
      <w:bookmarkEnd w:id="111"/>
    </w:p>
    <w:p>
      <w:pPr>
        <w:pStyle w:val="24"/>
        <w:ind w:firstLine="480"/>
        <w:jc w:val="both"/>
        <w:rPr>
          <w:color w:val="auto"/>
        </w:rPr>
      </w:pPr>
      <w:r>
        <w:rPr>
          <w:rFonts w:hint="eastAsia"/>
          <w:snapToGrid w:val="0"/>
          <w:color w:val="auto"/>
        </w:rPr>
        <w:t>本</w:t>
      </w:r>
      <w:r>
        <w:rPr>
          <w:snapToGrid w:val="0"/>
          <w:color w:val="auto"/>
        </w:rPr>
        <w:t>项目废水主要</w:t>
      </w:r>
      <w:r>
        <w:rPr>
          <w:rFonts w:hint="eastAsia"/>
          <w:snapToGrid w:val="0"/>
          <w:color w:val="auto"/>
        </w:rPr>
        <w:t>为</w:t>
      </w:r>
      <w:r>
        <w:rPr>
          <w:snapToGrid w:val="0"/>
          <w:color w:val="auto"/>
        </w:rPr>
        <w:t>工艺废水、</w:t>
      </w:r>
      <w:r>
        <w:rPr>
          <w:rFonts w:hint="eastAsia"/>
          <w:snapToGrid w:val="0"/>
          <w:color w:val="auto"/>
        </w:rPr>
        <w:t>地面冲洗水、化验室清洗水</w:t>
      </w:r>
      <w:r>
        <w:rPr>
          <w:snapToGrid w:val="0"/>
          <w:color w:val="auto"/>
        </w:rPr>
        <w:t>、</w:t>
      </w:r>
      <w:r>
        <w:rPr>
          <w:rFonts w:hint="eastAsia"/>
          <w:snapToGrid w:val="0"/>
          <w:color w:val="auto"/>
        </w:rPr>
        <w:t>循环水池外排水及生活污水等</w:t>
      </w:r>
      <w:r>
        <w:rPr>
          <w:snapToGrid w:val="0"/>
          <w:color w:val="auto"/>
        </w:rPr>
        <w:t>，</w:t>
      </w:r>
      <w:r>
        <w:rPr>
          <w:rFonts w:hint="eastAsia"/>
          <w:snapToGrid w:val="0"/>
          <w:color w:val="auto"/>
        </w:rPr>
        <w:t>其中循环水池</w:t>
      </w:r>
      <w:r>
        <w:rPr>
          <w:snapToGrid w:val="0"/>
          <w:color w:val="auto"/>
        </w:rPr>
        <w:t>排污水</w:t>
      </w:r>
      <w:r>
        <w:rPr>
          <w:rFonts w:hint="eastAsia"/>
          <w:snapToGrid w:val="0"/>
          <w:color w:val="auto"/>
        </w:rPr>
        <w:t>为清净下水，由</w:t>
      </w:r>
      <w:r>
        <w:rPr>
          <w:snapToGrid w:val="0"/>
          <w:color w:val="auto"/>
        </w:rPr>
        <w:t>厂区总排口</w:t>
      </w:r>
      <w:r>
        <w:rPr>
          <w:rFonts w:hint="eastAsia"/>
          <w:snapToGrid w:val="0"/>
          <w:color w:val="auto"/>
        </w:rPr>
        <w:t>直接排入污水处理管网。</w:t>
      </w:r>
      <w:r>
        <w:rPr>
          <w:rFonts w:hint="eastAsia"/>
          <w:b/>
          <w:color w:val="auto"/>
        </w:rPr>
        <w:t>变更后工艺路线中去掉了糠醛精制工序，</w:t>
      </w:r>
      <w:r>
        <w:rPr>
          <w:b/>
          <w:color w:val="auto"/>
        </w:rPr>
        <w:t>从而</w:t>
      </w:r>
      <w:r>
        <w:rPr>
          <w:rFonts w:hint="eastAsia"/>
          <w:b/>
          <w:color w:val="auto"/>
        </w:rPr>
        <w:t>减少了该部分的含油废水的产生。</w:t>
      </w:r>
    </w:p>
    <w:p>
      <w:pPr>
        <w:pStyle w:val="24"/>
        <w:ind w:firstLine="482"/>
        <w:jc w:val="both"/>
        <w:rPr>
          <w:snapToGrid w:val="0"/>
          <w:color w:val="auto"/>
        </w:rPr>
      </w:pPr>
      <w:r>
        <w:rPr>
          <w:rFonts w:hint="eastAsia"/>
          <w:b/>
          <w:snapToGrid w:val="0"/>
          <w:color w:val="auto"/>
        </w:rPr>
        <w:t>变更前：</w:t>
      </w:r>
      <w:r>
        <w:rPr>
          <w:snapToGrid w:val="0"/>
          <w:color w:val="auto"/>
        </w:rPr>
        <w:t>项目废水排放量104676吨</w:t>
      </w:r>
      <w:r>
        <w:rPr>
          <w:rFonts w:hint="eastAsia"/>
          <w:snapToGrid w:val="0"/>
          <w:color w:val="auto"/>
        </w:rPr>
        <w:t>/年</w:t>
      </w:r>
      <w:r>
        <w:rPr>
          <w:snapToGrid w:val="0"/>
          <w:color w:val="auto"/>
        </w:rPr>
        <w:t>，化学需氧量、氨氮排放浓度分别为81.8mg/L、3.8mg/L，满足</w:t>
      </w:r>
      <w:r>
        <w:rPr>
          <w:rFonts w:hint="eastAsia"/>
          <w:snapToGrid w:val="0"/>
          <w:color w:val="auto"/>
        </w:rPr>
        <w:t>濮阳市第二</w:t>
      </w:r>
      <w:r>
        <w:rPr>
          <w:snapToGrid w:val="0"/>
          <w:color w:val="auto"/>
        </w:rPr>
        <w:t>污水处理厂收纳水质标准，化学需氧量、氨氮排放量分别为8.56吨/年，0.4吨/年。经过</w:t>
      </w:r>
      <w:r>
        <w:rPr>
          <w:rFonts w:hint="eastAsia"/>
          <w:snapToGrid w:val="0"/>
          <w:color w:val="auto"/>
        </w:rPr>
        <w:t>濮阳市第二</w:t>
      </w:r>
      <w:r>
        <w:rPr>
          <w:snapToGrid w:val="0"/>
          <w:color w:val="auto"/>
        </w:rPr>
        <w:t>污水处理厂进一步处理后，</w:t>
      </w:r>
      <w:r>
        <w:rPr>
          <w:rFonts w:hint="eastAsia"/>
          <w:snapToGrid w:val="0"/>
          <w:color w:val="auto"/>
        </w:rPr>
        <w:t>出水满足《城市污水处理厂污染物排放标准》（GB18918-2002）一级A标准基础上执行《地表水环境质量标准》（GB 3838-2002）中的Ⅴ类水标准，即</w:t>
      </w:r>
      <w:r>
        <w:rPr>
          <w:snapToGrid w:val="0"/>
          <w:color w:val="auto"/>
        </w:rPr>
        <w:t>化学需氧量、氨氮排放浓度分别为</w:t>
      </w:r>
      <w:r>
        <w:rPr>
          <w:rFonts w:hint="eastAsia"/>
          <w:snapToGrid w:val="0"/>
          <w:color w:val="auto"/>
        </w:rPr>
        <w:t>40</w:t>
      </w:r>
      <w:r>
        <w:rPr>
          <w:snapToGrid w:val="0"/>
          <w:color w:val="auto"/>
        </w:rPr>
        <w:t>mg/L</w:t>
      </w:r>
      <w:r>
        <w:rPr>
          <w:rFonts w:hint="eastAsia"/>
          <w:snapToGrid w:val="0"/>
          <w:color w:val="auto"/>
        </w:rPr>
        <w:t>和2</w:t>
      </w:r>
      <w:r>
        <w:rPr>
          <w:snapToGrid w:val="0"/>
          <w:color w:val="auto"/>
        </w:rPr>
        <w:t>mg/L</w:t>
      </w:r>
      <w:r>
        <w:rPr>
          <w:rFonts w:hint="eastAsia"/>
          <w:snapToGrid w:val="0"/>
          <w:color w:val="auto"/>
        </w:rPr>
        <w:t>。合计项目</w:t>
      </w:r>
      <w:r>
        <w:rPr>
          <w:snapToGrid w:val="0"/>
          <w:color w:val="auto"/>
        </w:rPr>
        <w:t xml:space="preserve">化学需氧量、氨氮排入外环境的量分别为：4.187 </w:t>
      </w:r>
      <w:r>
        <w:rPr>
          <w:rFonts w:hint="eastAsia"/>
          <w:snapToGrid w:val="0"/>
          <w:color w:val="auto"/>
        </w:rPr>
        <w:t>t/a和</w:t>
      </w:r>
      <w:r>
        <w:rPr>
          <w:snapToGrid w:val="0"/>
          <w:color w:val="auto"/>
        </w:rPr>
        <w:t xml:space="preserve">0.209 </w:t>
      </w:r>
      <w:r>
        <w:rPr>
          <w:rFonts w:hint="eastAsia"/>
          <w:snapToGrid w:val="0"/>
          <w:color w:val="auto"/>
        </w:rPr>
        <w:t>t/a</w:t>
      </w:r>
      <w:r>
        <w:rPr>
          <w:snapToGrid w:val="0"/>
          <w:color w:val="auto"/>
        </w:rPr>
        <w:t>。</w:t>
      </w:r>
    </w:p>
    <w:p>
      <w:pPr>
        <w:pStyle w:val="24"/>
        <w:ind w:firstLine="482"/>
        <w:jc w:val="both"/>
        <w:rPr>
          <w:snapToGrid w:val="0"/>
          <w:color w:val="auto"/>
        </w:rPr>
      </w:pPr>
      <w:r>
        <w:rPr>
          <w:rFonts w:hint="eastAsia"/>
          <w:b/>
          <w:color w:val="auto"/>
        </w:rPr>
        <w:t>变更后：</w:t>
      </w:r>
      <w:r>
        <w:rPr>
          <w:rFonts w:hint="eastAsia"/>
          <w:color w:val="auto"/>
        </w:rPr>
        <w:t>项目废水排放量</w:t>
      </w:r>
      <w:r>
        <w:rPr>
          <w:snapToGrid w:val="0"/>
          <w:color w:val="auto"/>
        </w:rPr>
        <w:t>100067吨</w:t>
      </w:r>
      <w:r>
        <w:rPr>
          <w:rFonts w:hint="eastAsia"/>
          <w:snapToGrid w:val="0"/>
          <w:color w:val="auto"/>
        </w:rPr>
        <w:t>/年，</w:t>
      </w:r>
      <w:r>
        <w:rPr>
          <w:snapToGrid w:val="0"/>
          <w:color w:val="auto"/>
        </w:rPr>
        <w:t>化学需氧量、氨氮排放浓度分别为76.866mg/L、7.920mg/L，满足</w:t>
      </w:r>
      <w:r>
        <w:rPr>
          <w:rFonts w:hint="eastAsia"/>
          <w:snapToGrid w:val="0"/>
          <w:color w:val="auto"/>
        </w:rPr>
        <w:t>濮阳市第二</w:t>
      </w:r>
      <w:r>
        <w:rPr>
          <w:snapToGrid w:val="0"/>
          <w:color w:val="auto"/>
        </w:rPr>
        <w:t>污水处理厂收纳水质标准，化学需氧量、氨氮排放量分别为7.69吨/年，0.79吨/年。经过</w:t>
      </w:r>
      <w:r>
        <w:rPr>
          <w:rFonts w:hint="eastAsia"/>
          <w:snapToGrid w:val="0"/>
          <w:color w:val="auto"/>
        </w:rPr>
        <w:t>濮阳市第二</w:t>
      </w:r>
      <w:r>
        <w:rPr>
          <w:snapToGrid w:val="0"/>
          <w:color w:val="auto"/>
        </w:rPr>
        <w:t>污水处理厂进一步处理后，</w:t>
      </w:r>
      <w:r>
        <w:rPr>
          <w:rFonts w:hint="eastAsia"/>
          <w:snapToGrid w:val="0"/>
          <w:color w:val="auto"/>
        </w:rPr>
        <w:t>出水满足《城市污水处理厂污染物排放标准》（GB18918-2002）一级A标准基础上执行《地表水环境质量标准》（GB 3838-2002）中的Ⅴ类水标准，即</w:t>
      </w:r>
      <w:r>
        <w:rPr>
          <w:snapToGrid w:val="0"/>
          <w:color w:val="auto"/>
        </w:rPr>
        <w:t>化学需氧量、氨氮排放浓度分别为</w:t>
      </w:r>
      <w:r>
        <w:rPr>
          <w:rFonts w:hint="eastAsia"/>
          <w:snapToGrid w:val="0"/>
          <w:color w:val="auto"/>
        </w:rPr>
        <w:t>40</w:t>
      </w:r>
      <w:r>
        <w:rPr>
          <w:snapToGrid w:val="0"/>
          <w:color w:val="auto"/>
        </w:rPr>
        <w:t>mg/L</w:t>
      </w:r>
      <w:r>
        <w:rPr>
          <w:rFonts w:hint="eastAsia"/>
          <w:snapToGrid w:val="0"/>
          <w:color w:val="auto"/>
        </w:rPr>
        <w:t>和2</w:t>
      </w:r>
      <w:r>
        <w:rPr>
          <w:snapToGrid w:val="0"/>
          <w:color w:val="auto"/>
        </w:rPr>
        <w:t>mg/L</w:t>
      </w:r>
      <w:r>
        <w:rPr>
          <w:rFonts w:hint="eastAsia"/>
          <w:snapToGrid w:val="0"/>
          <w:color w:val="auto"/>
        </w:rPr>
        <w:t>。合计项目</w:t>
      </w:r>
      <w:r>
        <w:rPr>
          <w:snapToGrid w:val="0"/>
          <w:color w:val="auto"/>
        </w:rPr>
        <w:t xml:space="preserve">化学需氧量、氨氮排入外环境的量分别为：4.003 </w:t>
      </w:r>
      <w:r>
        <w:rPr>
          <w:rFonts w:hint="eastAsia"/>
          <w:snapToGrid w:val="0"/>
          <w:color w:val="auto"/>
        </w:rPr>
        <w:t>t/a和</w:t>
      </w:r>
      <w:r>
        <w:rPr>
          <w:snapToGrid w:val="0"/>
          <w:color w:val="auto"/>
        </w:rPr>
        <w:t xml:space="preserve">0.200 </w:t>
      </w:r>
      <w:r>
        <w:rPr>
          <w:rFonts w:hint="eastAsia"/>
          <w:snapToGrid w:val="0"/>
          <w:color w:val="auto"/>
        </w:rPr>
        <w:t>t/a</w:t>
      </w:r>
      <w:r>
        <w:rPr>
          <w:snapToGrid w:val="0"/>
          <w:color w:val="auto"/>
        </w:rPr>
        <w:t>。</w:t>
      </w:r>
    </w:p>
    <w:p>
      <w:pPr>
        <w:pStyle w:val="39"/>
        <w:rPr>
          <w:color w:val="auto"/>
        </w:rPr>
      </w:pPr>
      <w:bookmarkStart w:id="112" w:name="_Toc8391586"/>
      <w:r>
        <w:rPr>
          <w:color w:val="auto"/>
        </w:rPr>
        <w:t>6</w:t>
      </w:r>
      <w:r>
        <w:rPr>
          <w:rFonts w:hint="eastAsia"/>
          <w:color w:val="auto"/>
        </w:rPr>
        <w:t>.</w:t>
      </w:r>
      <w:r>
        <w:rPr>
          <w:color w:val="auto"/>
        </w:rPr>
        <w:t>2</w:t>
      </w:r>
      <w:r>
        <w:rPr>
          <w:rFonts w:hint="eastAsia"/>
          <w:color w:val="auto"/>
        </w:rPr>
        <w:t>变更前后大气污染总量指标</w:t>
      </w:r>
      <w:bookmarkEnd w:id="112"/>
    </w:p>
    <w:p>
      <w:pPr>
        <w:pStyle w:val="40"/>
        <w:rPr>
          <w:snapToGrid w:val="0"/>
          <w:color w:val="auto"/>
        </w:rPr>
      </w:pPr>
      <w:bookmarkStart w:id="113" w:name="_Toc8391587"/>
      <w:r>
        <w:rPr>
          <w:rFonts w:hint="eastAsia"/>
          <w:snapToGrid w:val="0"/>
          <w:color w:val="auto"/>
        </w:rPr>
        <w:t>6.2.1 SO</w:t>
      </w:r>
      <w:r>
        <w:rPr>
          <w:rFonts w:hint="eastAsia"/>
          <w:snapToGrid w:val="0"/>
          <w:color w:val="auto"/>
          <w:vertAlign w:val="subscript"/>
        </w:rPr>
        <w:t>2</w:t>
      </w:r>
      <w:r>
        <w:rPr>
          <w:rFonts w:hint="eastAsia"/>
          <w:snapToGrid w:val="0"/>
          <w:color w:val="auto"/>
        </w:rPr>
        <w:t>和NO</w:t>
      </w:r>
      <w:r>
        <w:rPr>
          <w:rFonts w:hint="eastAsia"/>
          <w:snapToGrid w:val="0"/>
          <w:color w:val="auto"/>
          <w:vertAlign w:val="subscript"/>
        </w:rPr>
        <w:t>X</w:t>
      </w:r>
      <w:bookmarkEnd w:id="113"/>
    </w:p>
    <w:p>
      <w:pPr>
        <w:pStyle w:val="24"/>
        <w:ind w:firstLine="480"/>
        <w:jc w:val="both"/>
        <w:rPr>
          <w:snapToGrid w:val="0"/>
          <w:color w:val="auto"/>
        </w:rPr>
      </w:pPr>
      <w:r>
        <w:rPr>
          <w:rFonts w:hint="eastAsia"/>
          <w:snapToGrid w:val="0"/>
          <w:color w:val="auto"/>
        </w:rPr>
        <w:t>该项目大气污染物主要来自减压炉和导热油炉，主要污染物为烟尘、</w:t>
      </w:r>
      <w:r>
        <w:rPr>
          <w:snapToGrid w:val="0"/>
          <w:color w:val="auto"/>
        </w:rPr>
        <w:t>二氧化硫</w:t>
      </w:r>
      <w:r>
        <w:rPr>
          <w:rFonts w:hint="eastAsia"/>
          <w:snapToGrid w:val="0"/>
          <w:color w:val="auto"/>
        </w:rPr>
        <w:t>和氮氧化物。</w:t>
      </w:r>
    </w:p>
    <w:p>
      <w:pPr>
        <w:pStyle w:val="24"/>
        <w:ind w:firstLine="482"/>
        <w:jc w:val="both"/>
        <w:rPr>
          <w:snapToGrid w:val="0"/>
          <w:color w:val="auto"/>
        </w:rPr>
      </w:pPr>
      <w:r>
        <w:rPr>
          <w:rFonts w:hint="eastAsia"/>
          <w:b/>
          <w:snapToGrid w:val="0"/>
          <w:color w:val="auto"/>
        </w:rPr>
        <w:t>变更前</w:t>
      </w:r>
      <w:r>
        <w:rPr>
          <w:rFonts w:hint="eastAsia"/>
          <w:snapToGrid w:val="0"/>
          <w:color w:val="auto"/>
        </w:rPr>
        <w:t>：</w:t>
      </w:r>
      <w:r>
        <w:rPr>
          <w:snapToGrid w:val="0"/>
          <w:color w:val="auto"/>
        </w:rPr>
        <w:t>减压炉废气经28m烟囱高空排放，年烟气排放量4193.76万m</w:t>
      </w:r>
      <w:r>
        <w:rPr>
          <w:snapToGrid w:val="0"/>
          <w:color w:val="auto"/>
          <w:vertAlign w:val="superscript"/>
        </w:rPr>
        <w:t>3</w:t>
      </w:r>
      <w:r>
        <w:rPr>
          <w:snapToGrid w:val="0"/>
          <w:color w:val="auto"/>
        </w:rPr>
        <w:t>，排放浓度为二氧化硫46.3mg/m</w:t>
      </w:r>
      <w:r>
        <w:rPr>
          <w:snapToGrid w:val="0"/>
          <w:color w:val="auto"/>
          <w:vertAlign w:val="superscript"/>
        </w:rPr>
        <w:t>3</w:t>
      </w:r>
      <w:r>
        <w:rPr>
          <w:snapToGrid w:val="0"/>
          <w:color w:val="auto"/>
        </w:rPr>
        <w:t>、氮氧化物35.7mg/m</w:t>
      </w:r>
      <w:r>
        <w:rPr>
          <w:snapToGrid w:val="0"/>
          <w:color w:val="auto"/>
          <w:vertAlign w:val="superscript"/>
        </w:rPr>
        <w:t>3</w:t>
      </w:r>
      <w:r>
        <w:rPr>
          <w:snapToGrid w:val="0"/>
          <w:color w:val="auto"/>
        </w:rPr>
        <w:t>，颗粒物14.3mg/m</w:t>
      </w:r>
      <w:r>
        <w:rPr>
          <w:snapToGrid w:val="0"/>
          <w:color w:val="auto"/>
          <w:vertAlign w:val="superscript"/>
        </w:rPr>
        <w:t>3</w:t>
      </w:r>
      <w:r>
        <w:rPr>
          <w:snapToGrid w:val="0"/>
          <w:color w:val="auto"/>
        </w:rPr>
        <w:t>。</w:t>
      </w:r>
      <w:r>
        <w:rPr>
          <w:rFonts w:hint="eastAsia"/>
          <w:snapToGrid w:val="0"/>
          <w:color w:val="auto"/>
        </w:rPr>
        <w:t>导热油炉</w:t>
      </w:r>
      <w:r>
        <w:rPr>
          <w:snapToGrid w:val="0"/>
          <w:color w:val="auto"/>
        </w:rPr>
        <w:t>废气经30m烟囱高空排放，年烟气排放量16941.12万m</w:t>
      </w:r>
      <w:r>
        <w:rPr>
          <w:snapToGrid w:val="0"/>
          <w:color w:val="auto"/>
          <w:vertAlign w:val="superscript"/>
        </w:rPr>
        <w:t>3</w:t>
      </w:r>
      <w:r>
        <w:rPr>
          <w:snapToGrid w:val="0"/>
          <w:color w:val="auto"/>
        </w:rPr>
        <w:t>，排放浓度为二氧化硫1.3mg/m</w:t>
      </w:r>
      <w:r>
        <w:rPr>
          <w:snapToGrid w:val="0"/>
          <w:color w:val="auto"/>
          <w:vertAlign w:val="superscript"/>
        </w:rPr>
        <w:t>3</w:t>
      </w:r>
      <w:r>
        <w:rPr>
          <w:snapToGrid w:val="0"/>
          <w:color w:val="auto"/>
        </w:rPr>
        <w:t>、氮氧化物33.6mg/m</w:t>
      </w:r>
      <w:r>
        <w:rPr>
          <w:snapToGrid w:val="0"/>
          <w:color w:val="auto"/>
          <w:vertAlign w:val="superscript"/>
        </w:rPr>
        <w:t>3</w:t>
      </w:r>
      <w:r>
        <w:rPr>
          <w:snapToGrid w:val="0"/>
          <w:color w:val="auto"/>
        </w:rPr>
        <w:t>，颗粒物13mg/m</w:t>
      </w:r>
      <w:r>
        <w:rPr>
          <w:snapToGrid w:val="0"/>
          <w:color w:val="auto"/>
          <w:vertAlign w:val="superscript"/>
        </w:rPr>
        <w:t>3</w:t>
      </w:r>
      <w:r>
        <w:rPr>
          <w:snapToGrid w:val="0"/>
          <w:color w:val="auto"/>
        </w:rPr>
        <w:t>。</w:t>
      </w:r>
    </w:p>
    <w:p>
      <w:pPr>
        <w:pStyle w:val="24"/>
        <w:ind w:firstLine="480"/>
        <w:jc w:val="both"/>
        <w:rPr>
          <w:snapToGrid w:val="0"/>
          <w:color w:val="auto"/>
        </w:rPr>
      </w:pPr>
      <w:r>
        <w:rPr>
          <w:snapToGrid w:val="0"/>
          <w:color w:val="auto"/>
        </w:rPr>
        <w:t>减压炉</w:t>
      </w:r>
      <w:r>
        <w:rPr>
          <w:rFonts w:hint="eastAsia"/>
          <w:snapToGrid w:val="0"/>
          <w:color w:val="auto"/>
        </w:rPr>
        <w:t>和导热油</w:t>
      </w:r>
      <w:r>
        <w:rPr>
          <w:snapToGrid w:val="0"/>
          <w:color w:val="auto"/>
        </w:rPr>
        <w:t>废气中二氧化硫、氮氧化物预测排放浓度</w:t>
      </w:r>
      <w:r>
        <w:rPr>
          <w:rFonts w:hint="eastAsia"/>
          <w:snapToGrid w:val="0"/>
          <w:color w:val="auto"/>
        </w:rPr>
        <w:t>均能</w:t>
      </w:r>
      <w:r>
        <w:rPr>
          <w:snapToGrid w:val="0"/>
          <w:color w:val="auto"/>
        </w:rPr>
        <w:t>满足《锅炉大气污染物排放标准》（GB13271-2014）表3中的燃气锅炉特别排放限值要求，二氧化硫、氮氧化物</w:t>
      </w:r>
      <w:r>
        <w:rPr>
          <w:rFonts w:hint="eastAsia"/>
          <w:snapToGrid w:val="0"/>
          <w:color w:val="auto"/>
        </w:rPr>
        <w:t>排放量</w:t>
      </w:r>
      <w:r>
        <w:rPr>
          <w:snapToGrid w:val="0"/>
          <w:color w:val="auto"/>
        </w:rPr>
        <w:t xml:space="preserve">分别为2.16 </w:t>
      </w:r>
      <w:r>
        <w:rPr>
          <w:rFonts w:hint="eastAsia"/>
          <w:snapToGrid w:val="0"/>
          <w:color w:val="auto"/>
        </w:rPr>
        <w:t>t/a</w:t>
      </w:r>
      <w:r>
        <w:rPr>
          <w:snapToGrid w:val="0"/>
          <w:color w:val="auto"/>
        </w:rPr>
        <w:t xml:space="preserve">、7.2 </w:t>
      </w:r>
      <w:r>
        <w:rPr>
          <w:rFonts w:hint="eastAsia"/>
          <w:snapToGrid w:val="0"/>
          <w:color w:val="auto"/>
        </w:rPr>
        <w:t>t/a</w:t>
      </w:r>
      <w:r>
        <w:rPr>
          <w:snapToGrid w:val="0"/>
          <w:color w:val="auto"/>
        </w:rPr>
        <w:t>。</w:t>
      </w:r>
    </w:p>
    <w:p>
      <w:pPr>
        <w:pStyle w:val="24"/>
        <w:ind w:firstLine="482"/>
        <w:jc w:val="both"/>
        <w:rPr>
          <w:snapToGrid w:val="0"/>
          <w:color w:val="auto"/>
        </w:rPr>
      </w:pPr>
      <w:r>
        <w:rPr>
          <w:rFonts w:hint="eastAsia"/>
          <w:b/>
          <w:color w:val="auto"/>
        </w:rPr>
        <w:t>变更后：</w:t>
      </w:r>
      <w:r>
        <w:rPr>
          <w:b/>
          <w:snapToGrid w:val="0"/>
          <w:color w:val="auto"/>
        </w:rPr>
        <w:t>减压炉</w:t>
      </w:r>
      <w:r>
        <w:rPr>
          <w:rFonts w:hint="eastAsia"/>
          <w:b/>
          <w:snapToGrid w:val="0"/>
          <w:color w:val="auto"/>
        </w:rPr>
        <w:t>废气排放量与原环评一致。</w:t>
      </w:r>
      <w:r>
        <w:rPr>
          <w:snapToGrid w:val="0"/>
          <w:color w:val="auto"/>
        </w:rPr>
        <w:t>减压炉废气经28m烟囱高空排放，年烟气排放量4193.76万m</w:t>
      </w:r>
      <w:r>
        <w:rPr>
          <w:snapToGrid w:val="0"/>
          <w:color w:val="auto"/>
          <w:vertAlign w:val="superscript"/>
        </w:rPr>
        <w:t>3</w:t>
      </w:r>
      <w:r>
        <w:rPr>
          <w:snapToGrid w:val="0"/>
          <w:color w:val="auto"/>
        </w:rPr>
        <w:t>，排放浓度为二氧化硫46.3mg/m</w:t>
      </w:r>
      <w:r>
        <w:rPr>
          <w:snapToGrid w:val="0"/>
          <w:color w:val="auto"/>
          <w:vertAlign w:val="superscript"/>
        </w:rPr>
        <w:t>3</w:t>
      </w:r>
      <w:r>
        <w:rPr>
          <w:snapToGrid w:val="0"/>
          <w:color w:val="auto"/>
        </w:rPr>
        <w:t>、氮氧化物35.7mg/m</w:t>
      </w:r>
      <w:r>
        <w:rPr>
          <w:snapToGrid w:val="0"/>
          <w:color w:val="auto"/>
          <w:vertAlign w:val="superscript"/>
        </w:rPr>
        <w:t>3</w:t>
      </w:r>
      <w:r>
        <w:rPr>
          <w:snapToGrid w:val="0"/>
          <w:color w:val="auto"/>
        </w:rPr>
        <w:t>，颗粒物14.3mg/m</w:t>
      </w:r>
      <w:r>
        <w:rPr>
          <w:snapToGrid w:val="0"/>
          <w:color w:val="auto"/>
          <w:vertAlign w:val="superscript"/>
        </w:rPr>
        <w:t>3</w:t>
      </w:r>
      <w:r>
        <w:rPr>
          <w:snapToGrid w:val="0"/>
          <w:color w:val="auto"/>
        </w:rPr>
        <w:t>。满足《锅炉大气污染物排放标准》（GB13271-2014）表3中的燃气锅炉特别排放限值要求</w:t>
      </w:r>
      <w:r>
        <w:rPr>
          <w:rFonts w:hint="eastAsia"/>
          <w:snapToGrid w:val="0"/>
          <w:color w:val="auto"/>
        </w:rPr>
        <w:t>。</w:t>
      </w:r>
    </w:p>
    <w:p>
      <w:pPr>
        <w:pStyle w:val="24"/>
        <w:ind w:firstLine="482"/>
        <w:jc w:val="both"/>
        <w:rPr>
          <w:snapToGrid w:val="0"/>
          <w:color w:val="auto"/>
        </w:rPr>
      </w:pPr>
      <w:r>
        <w:rPr>
          <w:rFonts w:hint="eastAsia"/>
          <w:b/>
          <w:snapToGrid w:val="0"/>
          <w:color w:val="auto"/>
        </w:rPr>
        <w:t>变更后</w:t>
      </w:r>
      <w:r>
        <w:rPr>
          <w:rFonts w:hint="eastAsia"/>
          <w:b/>
          <w:color w:val="auto"/>
          <w:szCs w:val="21"/>
        </w:rPr>
        <w:t>由于项目工艺优化，缩短了工艺路线，去掉了薄膜蒸发及糠醛精制等装置，与原工艺相比，</w:t>
      </w:r>
      <w:r>
        <w:rPr>
          <w:b/>
          <w:color w:val="auto"/>
          <w:szCs w:val="21"/>
        </w:rPr>
        <w:t>减少</w:t>
      </w:r>
      <w:r>
        <w:rPr>
          <w:rFonts w:hint="eastAsia"/>
          <w:b/>
          <w:color w:val="auto"/>
          <w:szCs w:val="21"/>
        </w:rPr>
        <w:t>了设备的换热量，从而减少了导热油炉天然气的消耗量，导热油炉</w:t>
      </w:r>
      <w:r>
        <w:rPr>
          <w:rFonts w:hint="eastAsia"/>
          <w:b/>
          <w:snapToGrid w:val="0"/>
          <w:color w:val="auto"/>
        </w:rPr>
        <w:t>年烟气排放量也相应减少</w:t>
      </w:r>
      <w:r>
        <w:rPr>
          <w:rFonts w:hint="eastAsia"/>
          <w:snapToGrid w:val="0"/>
          <w:color w:val="auto"/>
        </w:rPr>
        <w:t>。变更后导热油炉</w:t>
      </w:r>
      <w:r>
        <w:rPr>
          <w:snapToGrid w:val="0"/>
          <w:color w:val="auto"/>
        </w:rPr>
        <w:t>废气经30m烟囱高空排放，年烟气排放量10752.24万m</w:t>
      </w:r>
      <w:r>
        <w:rPr>
          <w:snapToGrid w:val="0"/>
          <w:color w:val="auto"/>
          <w:vertAlign w:val="superscript"/>
        </w:rPr>
        <w:t>3</w:t>
      </w:r>
      <w:r>
        <w:rPr>
          <w:snapToGrid w:val="0"/>
          <w:color w:val="auto"/>
        </w:rPr>
        <w:t>，排放浓度为二氧化硫1.3mg/m</w:t>
      </w:r>
      <w:r>
        <w:rPr>
          <w:snapToGrid w:val="0"/>
          <w:color w:val="auto"/>
          <w:vertAlign w:val="superscript"/>
        </w:rPr>
        <w:t>3</w:t>
      </w:r>
      <w:r>
        <w:rPr>
          <w:snapToGrid w:val="0"/>
          <w:color w:val="auto"/>
        </w:rPr>
        <w:t>、氮氧化物33.6mg/m</w:t>
      </w:r>
      <w:r>
        <w:rPr>
          <w:snapToGrid w:val="0"/>
          <w:color w:val="auto"/>
          <w:vertAlign w:val="superscript"/>
        </w:rPr>
        <w:t>3</w:t>
      </w:r>
      <w:r>
        <w:rPr>
          <w:snapToGrid w:val="0"/>
          <w:color w:val="auto"/>
        </w:rPr>
        <w:t>，颗粒物13mg/m</w:t>
      </w:r>
      <w:r>
        <w:rPr>
          <w:snapToGrid w:val="0"/>
          <w:color w:val="auto"/>
          <w:vertAlign w:val="superscript"/>
        </w:rPr>
        <w:t>3</w:t>
      </w:r>
      <w:r>
        <w:rPr>
          <w:snapToGrid w:val="0"/>
          <w:color w:val="auto"/>
        </w:rPr>
        <w:t>。满足《锅炉大气污染物排放标准》（GB13271-2014）表3中的燃气锅炉特别排放限值要求，</w:t>
      </w:r>
    </w:p>
    <w:p>
      <w:pPr>
        <w:pStyle w:val="24"/>
        <w:ind w:firstLine="480"/>
        <w:jc w:val="both"/>
        <w:rPr>
          <w:snapToGrid w:val="0"/>
          <w:color w:val="auto"/>
        </w:rPr>
      </w:pPr>
      <w:r>
        <w:rPr>
          <w:snapToGrid w:val="0"/>
          <w:color w:val="auto"/>
        </w:rPr>
        <w:t>二氧化硫、氮氧化物</w:t>
      </w:r>
      <w:r>
        <w:rPr>
          <w:rFonts w:hint="eastAsia"/>
          <w:snapToGrid w:val="0"/>
          <w:color w:val="auto"/>
        </w:rPr>
        <w:t>排放量</w:t>
      </w:r>
      <w:r>
        <w:rPr>
          <w:snapToGrid w:val="0"/>
          <w:color w:val="auto"/>
        </w:rPr>
        <w:t>分别为2.08吨/年、5.1吨/年。</w:t>
      </w:r>
    </w:p>
    <w:p>
      <w:pPr>
        <w:pStyle w:val="40"/>
        <w:rPr>
          <w:snapToGrid w:val="0"/>
          <w:color w:val="auto"/>
        </w:rPr>
      </w:pPr>
      <w:bookmarkStart w:id="114" w:name="_Toc8391588"/>
      <w:r>
        <w:rPr>
          <w:rFonts w:hint="eastAsia"/>
          <w:snapToGrid w:val="0"/>
          <w:color w:val="auto"/>
        </w:rPr>
        <w:t>6.2.</w:t>
      </w:r>
      <w:r>
        <w:rPr>
          <w:snapToGrid w:val="0"/>
          <w:color w:val="auto"/>
        </w:rPr>
        <w:t>2</w:t>
      </w:r>
      <w:r>
        <w:rPr>
          <w:rFonts w:hint="eastAsia"/>
          <w:snapToGrid w:val="0"/>
          <w:color w:val="auto"/>
        </w:rPr>
        <w:t xml:space="preserve"> 非甲烷总烃</w:t>
      </w:r>
      <w:bookmarkEnd w:id="114"/>
    </w:p>
    <w:p>
      <w:pPr>
        <w:pStyle w:val="24"/>
        <w:ind w:firstLine="480"/>
        <w:jc w:val="both"/>
        <w:rPr>
          <w:snapToGrid w:val="0"/>
          <w:color w:val="auto"/>
        </w:rPr>
      </w:pPr>
      <w:r>
        <w:rPr>
          <w:rFonts w:hint="eastAsia"/>
          <w:snapToGrid w:val="0"/>
          <w:color w:val="auto"/>
        </w:rPr>
        <w:t>本项目大气污染物中另一主要污染物是非甲烷总烃。</w:t>
      </w:r>
    </w:p>
    <w:p>
      <w:pPr>
        <w:pStyle w:val="24"/>
        <w:ind w:firstLine="482"/>
        <w:jc w:val="both"/>
        <w:rPr>
          <w:snapToGrid w:val="0"/>
          <w:color w:val="auto"/>
        </w:rPr>
      </w:pPr>
      <w:r>
        <w:rPr>
          <w:b/>
          <w:snapToGrid w:val="0"/>
          <w:color w:val="auto"/>
        </w:rPr>
        <w:t>变更前：</w:t>
      </w:r>
      <w:r>
        <w:rPr>
          <w:snapToGrid w:val="0"/>
          <w:color w:val="auto"/>
        </w:rPr>
        <w:t>有组织排放废气中非甲烷总烃主要来源为呼吸废气和污水处理站产生的废气。小呼吸废气排放量为1.4498t/a，经15m微生物吸附装置排气筒高空排放，排放浓度为60.4mg/m</w:t>
      </w:r>
      <w:r>
        <w:rPr>
          <w:snapToGrid w:val="0"/>
          <w:color w:val="auto"/>
          <w:vertAlign w:val="superscript"/>
        </w:rPr>
        <w:t>3</w:t>
      </w:r>
      <w:r>
        <w:rPr>
          <w:snapToGrid w:val="0"/>
          <w:color w:val="auto"/>
        </w:rPr>
        <w:t>。污水处理站产生的废气中非甲烷总烃排放量为 0.0299t/a，经15m微生物吸附装置排气筒高空排放，排放浓度为1.7055mg/m</w:t>
      </w:r>
      <w:r>
        <w:rPr>
          <w:snapToGrid w:val="0"/>
          <w:color w:val="auto"/>
          <w:vertAlign w:val="superscript"/>
        </w:rPr>
        <w:t>3</w:t>
      </w:r>
      <w:r>
        <w:rPr>
          <w:snapToGrid w:val="0"/>
          <w:color w:val="auto"/>
        </w:rPr>
        <w:t>。有组织废气中非甲烷总烃排放量为1.4797t/a。无组织排放废气中非甲烷总烃主要来源为油罐静止损耗（大呼吸）、装车损失、管线阀门泄漏、污水处理站。大呼吸废气排放量为1.2t/a，装车损失废气排放量为0.0031t/a，管线阀门泄漏废气排放量为0.15t/a，污水处理站废气排放量为0.032t/a。无组织废气中非甲烷总烃排放量为1.3851t/a。非甲烷总烃排放总量为2.8648t/a，满足《关于全省开展工业企业挥发性有机物专项治理工作中排放建议值的通知》</w:t>
      </w:r>
      <w:r>
        <w:rPr>
          <w:color w:val="auto"/>
        </w:rPr>
        <w:t>（豫环攻坚办[2017]162号）</w:t>
      </w:r>
      <w:r>
        <w:rPr>
          <w:snapToGrid w:val="0"/>
          <w:color w:val="auto"/>
        </w:rPr>
        <w:t>限值要求。</w:t>
      </w:r>
    </w:p>
    <w:p>
      <w:pPr>
        <w:pStyle w:val="24"/>
        <w:ind w:firstLine="482"/>
        <w:jc w:val="both"/>
        <w:rPr>
          <w:snapToGrid w:val="0"/>
          <w:color w:val="auto"/>
        </w:rPr>
      </w:pPr>
      <w:r>
        <w:rPr>
          <w:rFonts w:hint="eastAsia"/>
          <w:b/>
          <w:color w:val="auto"/>
        </w:rPr>
        <w:t>变更后：工艺中</w:t>
      </w:r>
      <w:r>
        <w:rPr>
          <w:b/>
          <w:color w:val="auto"/>
        </w:rPr>
        <w:t>去掉了</w:t>
      </w:r>
      <w:r>
        <w:rPr>
          <w:rFonts w:hint="eastAsia"/>
          <w:b/>
          <w:color w:val="auto"/>
        </w:rPr>
        <w:t>糠醛精制工序，工艺中无需使用糠醛，不再产生该股废水，进入污水处理站的废水量减少，污水处理站产生的有机废气及恶臭污染物量减少。</w:t>
      </w:r>
      <w:r>
        <w:rPr>
          <w:rFonts w:hint="eastAsia"/>
          <w:snapToGrid w:val="0"/>
          <w:color w:val="auto"/>
        </w:rPr>
        <w:t>有组织排放废气中小呼吸废气排放量不变，为1.4498t/a，经15m微生物吸附装置排气筒高空排放，排放浓度为60.4mg/m</w:t>
      </w:r>
      <w:r>
        <w:rPr>
          <w:rFonts w:hint="eastAsia"/>
          <w:snapToGrid w:val="0"/>
          <w:color w:val="auto"/>
          <w:vertAlign w:val="superscript"/>
        </w:rPr>
        <w:t>3</w:t>
      </w:r>
      <w:r>
        <w:rPr>
          <w:rFonts w:hint="eastAsia"/>
          <w:snapToGrid w:val="0"/>
          <w:color w:val="auto"/>
        </w:rPr>
        <w:t>。污水处理站产生的废气中非甲烷总烃排放量减少为0.</w:t>
      </w:r>
      <w:r>
        <w:rPr>
          <w:snapToGrid w:val="0"/>
          <w:color w:val="auto"/>
        </w:rPr>
        <w:t>01944</w:t>
      </w:r>
      <w:r>
        <w:rPr>
          <w:rFonts w:hint="eastAsia"/>
          <w:snapToGrid w:val="0"/>
          <w:color w:val="auto"/>
        </w:rPr>
        <w:t>t/a，经15m微生物吸附装置排气筒高空排放，排放浓度为1.</w:t>
      </w:r>
      <w:r>
        <w:rPr>
          <w:snapToGrid w:val="0"/>
          <w:color w:val="auto"/>
        </w:rPr>
        <w:t>22</w:t>
      </w:r>
      <w:r>
        <w:rPr>
          <w:rFonts w:hint="eastAsia"/>
          <w:snapToGrid w:val="0"/>
          <w:color w:val="auto"/>
        </w:rPr>
        <w:t>mg/m</w:t>
      </w:r>
      <w:r>
        <w:rPr>
          <w:rFonts w:hint="eastAsia"/>
          <w:snapToGrid w:val="0"/>
          <w:color w:val="auto"/>
          <w:vertAlign w:val="superscript"/>
        </w:rPr>
        <w:t>3</w:t>
      </w:r>
      <w:r>
        <w:rPr>
          <w:rFonts w:hint="eastAsia"/>
          <w:snapToGrid w:val="0"/>
          <w:color w:val="auto"/>
        </w:rPr>
        <w:t>。有组织废气中非甲烷总烃排放量为1.4</w:t>
      </w:r>
      <w:r>
        <w:rPr>
          <w:snapToGrid w:val="0"/>
          <w:color w:val="auto"/>
        </w:rPr>
        <w:t>6924</w:t>
      </w:r>
      <w:r>
        <w:rPr>
          <w:rFonts w:hint="eastAsia"/>
          <w:snapToGrid w:val="0"/>
          <w:color w:val="auto"/>
        </w:rPr>
        <w:t>t/a。无组织排放废气中非甲烷总烃主要来源为油罐静止损耗（大呼吸）、装车损失、管线阀门泄漏、污水处理站。大呼吸废气、装车损失废气、管线阀门泄漏废气排放量不变，分别为1.2t/a、0.0031t/a、0.15t/a，污水处理站废气排放量减少为0.0216t/a。无组织废气排放量减少为1.3</w:t>
      </w:r>
      <w:r>
        <w:rPr>
          <w:snapToGrid w:val="0"/>
          <w:color w:val="auto"/>
        </w:rPr>
        <w:t>747</w:t>
      </w:r>
      <w:r>
        <w:rPr>
          <w:rFonts w:hint="eastAsia"/>
          <w:snapToGrid w:val="0"/>
          <w:color w:val="auto"/>
        </w:rPr>
        <w:t>t/a。非甲烷总烃排放总量为2.</w:t>
      </w:r>
      <w:r>
        <w:rPr>
          <w:snapToGrid w:val="0"/>
          <w:color w:val="auto"/>
        </w:rPr>
        <w:t>84394</w:t>
      </w:r>
      <w:r>
        <w:rPr>
          <w:rFonts w:hint="eastAsia"/>
          <w:snapToGrid w:val="0"/>
          <w:color w:val="auto"/>
        </w:rPr>
        <w:t>t/a，</w:t>
      </w:r>
      <w:r>
        <w:rPr>
          <w:snapToGrid w:val="0"/>
          <w:color w:val="auto"/>
        </w:rPr>
        <w:t>满足《关于全省开展工业企业挥发性有机物专项治理工作中排放建议值的通知》</w:t>
      </w:r>
      <w:r>
        <w:rPr>
          <w:color w:val="auto"/>
        </w:rPr>
        <w:t>（豫环攻坚办[2017]162号）</w:t>
      </w:r>
      <w:r>
        <w:rPr>
          <w:snapToGrid w:val="0"/>
          <w:color w:val="auto"/>
        </w:rPr>
        <w:t>限值要求。</w:t>
      </w:r>
    </w:p>
    <w:p>
      <w:pPr>
        <w:pStyle w:val="39"/>
        <w:rPr>
          <w:color w:val="auto"/>
        </w:rPr>
      </w:pPr>
      <w:r>
        <w:rPr>
          <w:color w:val="auto"/>
        </w:rPr>
        <w:t>6</w:t>
      </w:r>
      <w:r>
        <w:rPr>
          <w:rFonts w:hint="eastAsia"/>
          <w:color w:val="auto"/>
        </w:rPr>
        <w:t>.</w:t>
      </w:r>
      <w:r>
        <w:rPr>
          <w:color w:val="auto"/>
        </w:rPr>
        <w:t>3</w:t>
      </w:r>
      <w:r>
        <w:rPr>
          <w:rFonts w:hint="eastAsia"/>
          <w:color w:val="auto"/>
        </w:rPr>
        <w:t>变更前后污染物排放总量</w:t>
      </w:r>
    </w:p>
    <w:p>
      <w:pPr>
        <w:pStyle w:val="24"/>
        <w:ind w:firstLine="480"/>
        <w:jc w:val="both"/>
        <w:rPr>
          <w:snapToGrid w:val="0"/>
          <w:color w:val="auto"/>
        </w:rPr>
      </w:pPr>
      <w:r>
        <w:rPr>
          <w:rFonts w:hint="eastAsia"/>
          <w:snapToGrid w:val="0"/>
          <w:color w:val="auto"/>
        </w:rPr>
        <w:t>本项目变更前后属于总量控制因子的污染物排放量见表6</w:t>
      </w:r>
      <w:r>
        <w:rPr>
          <w:snapToGrid w:val="0"/>
          <w:color w:val="auto"/>
        </w:rPr>
        <w:t>.3-1</w:t>
      </w:r>
      <w:r>
        <w:rPr>
          <w:rFonts w:hint="eastAsia"/>
          <w:snapToGrid w:val="0"/>
          <w:color w:val="auto"/>
        </w:rPr>
        <w:t>。</w:t>
      </w:r>
    </w:p>
    <w:p>
      <w:pPr>
        <w:spacing w:line="480" w:lineRule="exact"/>
        <w:ind w:firstLine="480" w:firstLineChars="200"/>
        <w:rPr>
          <w:rFonts w:ascii="Times New Roman" w:hAnsi="Times New Roman" w:eastAsia="黑体" w:cs="Times New Roman"/>
          <w:sz w:val="24"/>
        </w:rPr>
      </w:pPr>
      <w:r>
        <w:rPr>
          <w:rFonts w:hint="eastAsia" w:ascii="Times New Roman" w:hAnsi="Times New Roman" w:eastAsia="黑体" w:cs="Times New Roman"/>
          <w:sz w:val="24"/>
        </w:rPr>
        <w:t>表</w:t>
      </w:r>
      <w:r>
        <w:rPr>
          <w:rFonts w:ascii="Times New Roman" w:hAnsi="Times New Roman" w:eastAsia="黑体" w:cs="Times New Roman"/>
          <w:sz w:val="24"/>
        </w:rPr>
        <w:t>6</w:t>
      </w:r>
      <w:r>
        <w:rPr>
          <w:rFonts w:hint="eastAsia" w:ascii="Times New Roman" w:hAnsi="Times New Roman" w:eastAsia="黑体" w:cs="Times New Roman"/>
          <w:sz w:val="24"/>
        </w:rPr>
        <w:t>.</w:t>
      </w:r>
      <w:r>
        <w:rPr>
          <w:rFonts w:ascii="Times New Roman" w:hAnsi="Times New Roman" w:eastAsia="黑体" w:cs="Times New Roman"/>
          <w:sz w:val="24"/>
        </w:rPr>
        <w:t>3-1</w:t>
      </w:r>
      <w:r>
        <w:rPr>
          <w:rFonts w:hint="eastAsia" w:ascii="Times New Roman" w:hAnsi="Times New Roman" w:eastAsia="黑体" w:cs="Times New Roman"/>
          <w:sz w:val="24"/>
        </w:rPr>
        <w:t xml:space="preserve">       本项目变更前后主要污染物排放量一览表</w:t>
      </w:r>
    </w:p>
    <w:tbl>
      <w:tblPr>
        <w:tblStyle w:val="19"/>
        <w:tblW w:w="83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37"/>
        <w:gridCol w:w="1580"/>
        <w:gridCol w:w="1843"/>
        <w:gridCol w:w="1741"/>
        <w:gridCol w:w="15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70" w:hRule="atLeast"/>
        </w:trPr>
        <w:tc>
          <w:tcPr>
            <w:tcW w:w="1537" w:type="dxa"/>
            <w:vMerge w:val="restar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污染源</w:t>
            </w:r>
          </w:p>
        </w:tc>
        <w:tc>
          <w:tcPr>
            <w:tcW w:w="1580" w:type="dxa"/>
            <w:vMerge w:val="restar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污染物</w:t>
            </w:r>
          </w:p>
        </w:tc>
        <w:tc>
          <w:tcPr>
            <w:tcW w:w="1843" w:type="dxa"/>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变更前排放量</w:t>
            </w:r>
          </w:p>
        </w:tc>
        <w:tc>
          <w:tcPr>
            <w:tcW w:w="1741" w:type="dxa"/>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变更后排放量</w:t>
            </w:r>
          </w:p>
        </w:tc>
        <w:tc>
          <w:tcPr>
            <w:tcW w:w="1599" w:type="dxa"/>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总量控制指标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81" w:hRule="atLeast"/>
        </w:trPr>
        <w:tc>
          <w:tcPr>
            <w:tcW w:w="1537" w:type="dxa"/>
            <w:vMerge w:val="continue"/>
            <w:vAlign w:val="center"/>
          </w:tcPr>
          <w:p>
            <w:pPr>
              <w:widowControl/>
              <w:jc w:val="left"/>
              <w:rPr>
                <w:rFonts w:ascii="Times New Roman" w:hAnsi="Times New Roman" w:eastAsia="宋体" w:cs="Times New Roman"/>
                <w:kern w:val="0"/>
                <w:szCs w:val="21"/>
              </w:rPr>
            </w:pPr>
          </w:p>
        </w:tc>
        <w:tc>
          <w:tcPr>
            <w:tcW w:w="1580" w:type="dxa"/>
            <w:vMerge w:val="continue"/>
            <w:vAlign w:val="center"/>
          </w:tcPr>
          <w:p>
            <w:pPr>
              <w:widowControl/>
              <w:jc w:val="left"/>
              <w:rPr>
                <w:rFonts w:ascii="Times New Roman" w:hAnsi="Times New Roman" w:eastAsia="宋体" w:cs="Times New Roman"/>
                <w:kern w:val="0"/>
                <w:szCs w:val="21"/>
              </w:rPr>
            </w:pPr>
          </w:p>
        </w:tc>
        <w:tc>
          <w:tcPr>
            <w:tcW w:w="1843" w:type="dxa"/>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（t/a）</w:t>
            </w:r>
          </w:p>
        </w:tc>
        <w:tc>
          <w:tcPr>
            <w:tcW w:w="1741" w:type="dxa"/>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（t/a）</w:t>
            </w:r>
          </w:p>
        </w:tc>
        <w:tc>
          <w:tcPr>
            <w:tcW w:w="1599" w:type="dxa"/>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5" w:hRule="atLeast"/>
        </w:trPr>
        <w:tc>
          <w:tcPr>
            <w:tcW w:w="1537" w:type="dxa"/>
            <w:vMerge w:val="restar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废水</w:t>
            </w:r>
          </w:p>
        </w:tc>
        <w:tc>
          <w:tcPr>
            <w:tcW w:w="1580" w:type="dxa"/>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COD</w:t>
            </w:r>
          </w:p>
        </w:tc>
        <w:tc>
          <w:tcPr>
            <w:tcW w:w="1843" w:type="dxa"/>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4.187</w:t>
            </w:r>
          </w:p>
        </w:tc>
        <w:tc>
          <w:tcPr>
            <w:tcW w:w="174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4.003</w:t>
            </w:r>
          </w:p>
        </w:tc>
        <w:tc>
          <w:tcPr>
            <w:tcW w:w="1599" w:type="dxa"/>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4.187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15" w:hRule="atLeast"/>
        </w:trPr>
        <w:tc>
          <w:tcPr>
            <w:tcW w:w="1537" w:type="dxa"/>
            <w:vMerge w:val="continue"/>
            <w:vAlign w:val="center"/>
          </w:tcPr>
          <w:p>
            <w:pPr>
              <w:widowControl/>
              <w:jc w:val="left"/>
              <w:rPr>
                <w:rFonts w:ascii="Times New Roman" w:hAnsi="Times New Roman" w:eastAsia="宋体" w:cs="Times New Roman"/>
                <w:kern w:val="0"/>
                <w:szCs w:val="21"/>
              </w:rPr>
            </w:pPr>
          </w:p>
        </w:tc>
        <w:tc>
          <w:tcPr>
            <w:tcW w:w="1580" w:type="dxa"/>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NH</w:t>
            </w:r>
            <w:r>
              <w:rPr>
                <w:rFonts w:ascii="Times New Roman" w:hAnsi="Times New Roman" w:eastAsia="宋体" w:cs="Times New Roman"/>
                <w:kern w:val="0"/>
                <w:szCs w:val="21"/>
                <w:vertAlign w:val="subscript"/>
              </w:rPr>
              <w:t>3</w:t>
            </w:r>
            <w:r>
              <w:rPr>
                <w:rFonts w:ascii="Times New Roman" w:hAnsi="Times New Roman" w:eastAsia="宋体" w:cs="Times New Roman"/>
                <w:kern w:val="0"/>
                <w:szCs w:val="21"/>
              </w:rPr>
              <w:t>-N</w:t>
            </w:r>
          </w:p>
        </w:tc>
        <w:tc>
          <w:tcPr>
            <w:tcW w:w="1843" w:type="dxa"/>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0.209</w:t>
            </w:r>
          </w:p>
        </w:tc>
        <w:tc>
          <w:tcPr>
            <w:tcW w:w="174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0.200</w:t>
            </w:r>
          </w:p>
        </w:tc>
        <w:tc>
          <w:tcPr>
            <w:tcW w:w="1599" w:type="dxa"/>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0.209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15" w:hRule="atLeast"/>
        </w:trPr>
        <w:tc>
          <w:tcPr>
            <w:tcW w:w="1537" w:type="dxa"/>
            <w:vMerge w:val="restart"/>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废气</w:t>
            </w:r>
          </w:p>
        </w:tc>
        <w:tc>
          <w:tcPr>
            <w:tcW w:w="1580" w:type="dxa"/>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SO</w:t>
            </w:r>
            <w:r>
              <w:rPr>
                <w:rFonts w:ascii="Times New Roman" w:hAnsi="Times New Roman" w:eastAsia="宋体" w:cs="Times New Roman"/>
                <w:kern w:val="0"/>
                <w:szCs w:val="21"/>
                <w:vertAlign w:val="subscript"/>
              </w:rPr>
              <w:t>2</w:t>
            </w:r>
          </w:p>
        </w:tc>
        <w:tc>
          <w:tcPr>
            <w:tcW w:w="1843" w:type="dxa"/>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2.16</w:t>
            </w:r>
          </w:p>
        </w:tc>
        <w:tc>
          <w:tcPr>
            <w:tcW w:w="174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2.08</w:t>
            </w:r>
          </w:p>
        </w:tc>
        <w:tc>
          <w:tcPr>
            <w:tcW w:w="1599" w:type="dxa"/>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5" w:hRule="atLeast"/>
        </w:trPr>
        <w:tc>
          <w:tcPr>
            <w:tcW w:w="1537" w:type="dxa"/>
            <w:vMerge w:val="continue"/>
            <w:vAlign w:val="center"/>
          </w:tcPr>
          <w:p>
            <w:pPr>
              <w:widowControl/>
              <w:jc w:val="left"/>
              <w:rPr>
                <w:rFonts w:ascii="Times New Roman" w:hAnsi="Times New Roman" w:eastAsia="宋体" w:cs="Times New Roman"/>
                <w:kern w:val="0"/>
                <w:szCs w:val="21"/>
              </w:rPr>
            </w:pPr>
          </w:p>
        </w:tc>
        <w:tc>
          <w:tcPr>
            <w:tcW w:w="1580" w:type="dxa"/>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NOx</w:t>
            </w:r>
          </w:p>
        </w:tc>
        <w:tc>
          <w:tcPr>
            <w:tcW w:w="1843" w:type="dxa"/>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7.2</w:t>
            </w:r>
          </w:p>
        </w:tc>
        <w:tc>
          <w:tcPr>
            <w:tcW w:w="174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5.1</w:t>
            </w:r>
          </w:p>
        </w:tc>
        <w:tc>
          <w:tcPr>
            <w:tcW w:w="1599" w:type="dxa"/>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5" w:hRule="atLeast"/>
        </w:trPr>
        <w:tc>
          <w:tcPr>
            <w:tcW w:w="1537" w:type="dxa"/>
            <w:vMerge w:val="continue"/>
            <w:vAlign w:val="center"/>
          </w:tcPr>
          <w:p>
            <w:pPr>
              <w:widowControl/>
              <w:jc w:val="left"/>
              <w:rPr>
                <w:rFonts w:ascii="Times New Roman" w:hAnsi="Times New Roman" w:eastAsia="宋体" w:cs="Times New Roman"/>
                <w:kern w:val="0"/>
                <w:szCs w:val="21"/>
              </w:rPr>
            </w:pPr>
          </w:p>
        </w:tc>
        <w:tc>
          <w:tcPr>
            <w:tcW w:w="1580" w:type="dxa"/>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VOCs</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以非甲烷总烃计)</w:t>
            </w:r>
          </w:p>
        </w:tc>
        <w:tc>
          <w:tcPr>
            <w:tcW w:w="1843" w:type="dxa"/>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2.8648</w:t>
            </w:r>
          </w:p>
        </w:tc>
        <w:tc>
          <w:tcPr>
            <w:tcW w:w="174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2.84394</w:t>
            </w:r>
          </w:p>
        </w:tc>
        <w:tc>
          <w:tcPr>
            <w:tcW w:w="1599" w:type="dxa"/>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8</w:t>
            </w:r>
            <w:r>
              <w:rPr>
                <w:rFonts w:hint="eastAsia" w:ascii="Times New Roman" w:hAnsi="Times New Roman" w:eastAsia="宋体" w:cs="Times New Roman"/>
                <w:kern w:val="0"/>
                <w:szCs w:val="21"/>
              </w:rPr>
              <w:t>648</w:t>
            </w:r>
          </w:p>
        </w:tc>
      </w:tr>
    </w:tbl>
    <w:p>
      <w:pPr>
        <w:pStyle w:val="24"/>
        <w:ind w:firstLine="480"/>
        <w:jc w:val="both"/>
        <w:rPr>
          <w:snapToGrid w:val="0"/>
          <w:color w:val="auto"/>
        </w:rPr>
      </w:pPr>
      <w:r>
        <w:rPr>
          <w:rFonts w:hint="eastAsia"/>
          <w:snapToGrid w:val="0"/>
          <w:color w:val="auto"/>
        </w:rPr>
        <w:t>由上表可以看出，</w:t>
      </w:r>
      <w:r>
        <w:rPr>
          <w:snapToGrid w:val="0"/>
          <w:color w:val="auto"/>
        </w:rPr>
        <w:t>变更后</w:t>
      </w:r>
      <w:r>
        <w:rPr>
          <w:rFonts w:hint="eastAsia"/>
          <w:snapToGrid w:val="0"/>
          <w:color w:val="auto"/>
        </w:rPr>
        <w:t>项目污染物中的COD、</w:t>
      </w:r>
      <w:r>
        <w:rPr>
          <w:color w:val="auto"/>
          <w:kern w:val="0"/>
          <w:szCs w:val="21"/>
        </w:rPr>
        <w:t>NH</w:t>
      </w:r>
      <w:r>
        <w:rPr>
          <w:color w:val="auto"/>
          <w:kern w:val="0"/>
          <w:szCs w:val="21"/>
          <w:vertAlign w:val="subscript"/>
        </w:rPr>
        <w:t>3</w:t>
      </w:r>
      <w:r>
        <w:rPr>
          <w:color w:val="auto"/>
          <w:kern w:val="0"/>
          <w:szCs w:val="21"/>
        </w:rPr>
        <w:t>-N</w:t>
      </w:r>
      <w:r>
        <w:rPr>
          <w:rFonts w:hint="eastAsia"/>
          <w:color w:val="auto"/>
          <w:kern w:val="0"/>
          <w:szCs w:val="21"/>
        </w:rPr>
        <w:t>、</w:t>
      </w:r>
      <w:r>
        <w:rPr>
          <w:color w:val="auto"/>
          <w:kern w:val="0"/>
          <w:szCs w:val="21"/>
        </w:rPr>
        <w:t>SO</w:t>
      </w:r>
      <w:r>
        <w:rPr>
          <w:color w:val="auto"/>
          <w:kern w:val="0"/>
          <w:szCs w:val="21"/>
          <w:vertAlign w:val="subscript"/>
        </w:rPr>
        <w:t>2</w:t>
      </w:r>
      <w:r>
        <w:rPr>
          <w:rFonts w:hint="eastAsia"/>
          <w:color w:val="auto"/>
          <w:kern w:val="0"/>
          <w:szCs w:val="21"/>
        </w:rPr>
        <w:t>、</w:t>
      </w:r>
      <w:r>
        <w:rPr>
          <w:color w:val="auto"/>
          <w:kern w:val="0"/>
          <w:szCs w:val="21"/>
        </w:rPr>
        <w:t>NOx</w:t>
      </w:r>
      <w:r>
        <w:rPr>
          <w:rFonts w:hint="eastAsia"/>
          <w:color w:val="auto"/>
          <w:kern w:val="0"/>
          <w:szCs w:val="21"/>
        </w:rPr>
        <w:t>、</w:t>
      </w:r>
      <w:r>
        <w:rPr>
          <w:color w:val="auto"/>
          <w:kern w:val="0"/>
          <w:szCs w:val="21"/>
        </w:rPr>
        <w:t>VOCs</w:t>
      </w:r>
      <w:r>
        <w:rPr>
          <w:rFonts w:hint="eastAsia"/>
          <w:snapToGrid w:val="0"/>
          <w:color w:val="auto"/>
        </w:rPr>
        <w:t>排放量均有所降低，可以满足原环评总量控制指标的要求。</w:t>
      </w:r>
    </w:p>
    <w:p>
      <w:pPr>
        <w:sectPr>
          <w:pgSz w:w="11906" w:h="16838"/>
          <w:pgMar w:top="1440" w:right="1800" w:bottom="1440" w:left="1800" w:header="851" w:footer="992" w:gutter="0"/>
          <w:cols w:space="425" w:num="1"/>
          <w:docGrid w:type="lines" w:linePitch="312" w:charSpace="0"/>
        </w:sectPr>
      </w:pPr>
    </w:p>
    <w:p>
      <w:pPr>
        <w:pStyle w:val="38"/>
      </w:pPr>
      <w:bookmarkStart w:id="115" w:name="_Toc8391589"/>
      <w:r>
        <w:t xml:space="preserve">7 </w:t>
      </w:r>
      <w:r>
        <w:rPr>
          <w:rFonts w:hint="eastAsia"/>
        </w:rPr>
        <w:t>评价结论与建议</w:t>
      </w:r>
      <w:bookmarkEnd w:id="115"/>
    </w:p>
    <w:p>
      <w:pPr>
        <w:pStyle w:val="39"/>
        <w:rPr>
          <w:color w:val="auto"/>
        </w:rPr>
      </w:pPr>
      <w:bookmarkStart w:id="116" w:name="_Toc8391590"/>
      <w:r>
        <w:rPr>
          <w:color w:val="auto"/>
        </w:rPr>
        <w:t>7</w:t>
      </w:r>
      <w:r>
        <w:rPr>
          <w:rFonts w:hint="eastAsia"/>
          <w:color w:val="auto"/>
        </w:rPr>
        <w:t>.1 评价结论</w:t>
      </w:r>
      <w:bookmarkEnd w:id="116"/>
    </w:p>
    <w:p>
      <w:pPr>
        <w:pStyle w:val="40"/>
        <w:rPr>
          <w:snapToGrid w:val="0"/>
          <w:color w:val="auto"/>
        </w:rPr>
      </w:pPr>
      <w:bookmarkStart w:id="117" w:name="_Toc8391591"/>
      <w:r>
        <w:rPr>
          <w:rFonts w:hint="eastAsia"/>
          <w:snapToGrid w:val="0"/>
          <w:color w:val="auto"/>
        </w:rPr>
        <w:t>7.1.1工程概况</w:t>
      </w:r>
      <w:bookmarkEnd w:id="117"/>
    </w:p>
    <w:p>
      <w:pPr>
        <w:widowControl/>
        <w:spacing w:line="48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河南科瑞斯环保科技有限公司拟在</w:t>
      </w:r>
      <w:r>
        <w:rPr>
          <w:rFonts w:ascii="Times New Roman" w:hAnsi="Times New Roman" w:eastAsia="宋体"/>
          <w:sz w:val="24"/>
          <w:szCs w:val="24"/>
        </w:rPr>
        <w:t>河南省</w:t>
      </w:r>
      <w:r>
        <w:rPr>
          <w:rFonts w:hint="eastAsia" w:ascii="Times New Roman" w:hAnsi="Times New Roman" w:eastAsia="宋体"/>
          <w:sz w:val="24"/>
          <w:szCs w:val="24"/>
        </w:rPr>
        <w:t>濮阳市经济技术产业集聚区投资建设10万吨</w:t>
      </w:r>
      <w:r>
        <w:rPr>
          <w:rFonts w:ascii="Times New Roman" w:hAnsi="Times New Roman" w:eastAsia="宋体"/>
          <w:sz w:val="24"/>
          <w:szCs w:val="24"/>
        </w:rPr>
        <w:t>/</w:t>
      </w:r>
      <w:r>
        <w:rPr>
          <w:rFonts w:hint="eastAsia" w:ascii="Times New Roman" w:hAnsi="Times New Roman" w:eastAsia="宋体"/>
          <w:sz w:val="24"/>
          <w:szCs w:val="24"/>
        </w:rPr>
        <w:t>年废矿物油综合利用项目，该项目以废润滑油、废变压器油、废冷冻机油、废齿轮油、废内燃机油等为原料，</w:t>
      </w:r>
      <w:r>
        <w:rPr>
          <w:rFonts w:ascii="Times New Roman" w:hAnsi="Times New Roman" w:eastAsia="宋体"/>
          <w:sz w:val="24"/>
          <w:szCs w:val="24"/>
        </w:rPr>
        <w:t>通过原料预处理、溶剂</w:t>
      </w:r>
      <w:r>
        <w:rPr>
          <w:rFonts w:hint="eastAsia" w:ascii="Times New Roman" w:hAnsi="Times New Roman" w:eastAsia="宋体"/>
          <w:sz w:val="24"/>
          <w:szCs w:val="24"/>
        </w:rPr>
        <w:t>精制</w:t>
      </w:r>
      <w:r>
        <w:rPr>
          <w:rFonts w:ascii="Times New Roman" w:hAnsi="Times New Roman" w:eastAsia="宋体"/>
          <w:sz w:val="24"/>
          <w:szCs w:val="24"/>
        </w:rPr>
        <w:t>、</w:t>
      </w:r>
      <w:r>
        <w:rPr>
          <w:rFonts w:hint="eastAsia" w:ascii="Times New Roman" w:hAnsi="Times New Roman" w:eastAsia="宋体"/>
          <w:sz w:val="24"/>
          <w:szCs w:val="24"/>
        </w:rPr>
        <w:t>减压</w:t>
      </w:r>
      <w:r>
        <w:rPr>
          <w:rFonts w:ascii="Times New Roman" w:hAnsi="Times New Roman" w:eastAsia="宋体"/>
          <w:sz w:val="24"/>
          <w:szCs w:val="24"/>
        </w:rPr>
        <w:t>蒸馏</w:t>
      </w:r>
      <w:r>
        <w:rPr>
          <w:rFonts w:hint="eastAsia" w:ascii="Times New Roman" w:hAnsi="Times New Roman" w:eastAsia="宋体"/>
          <w:sz w:val="24"/>
          <w:szCs w:val="24"/>
        </w:rPr>
        <w:t>等单元</w:t>
      </w:r>
      <w:r>
        <w:rPr>
          <w:rFonts w:ascii="Times New Roman" w:hAnsi="Times New Roman" w:eastAsia="宋体"/>
          <w:sz w:val="24"/>
          <w:szCs w:val="24"/>
        </w:rPr>
        <w:t>，生产</w:t>
      </w:r>
      <w:r>
        <w:rPr>
          <w:rFonts w:hint="eastAsia" w:ascii="Times New Roman" w:hAnsi="Times New Roman" w:eastAsia="宋体"/>
          <w:sz w:val="24"/>
          <w:szCs w:val="24"/>
        </w:rPr>
        <w:t>75#基础油、100#基础油、150#基础油200#基础油等基础油，副产品为柴油、燃料油、汽油和沥青</w:t>
      </w:r>
      <w:r>
        <w:rPr>
          <w:rFonts w:ascii="Times New Roman" w:hAnsi="Times New Roman" w:eastAsia="宋体"/>
          <w:sz w:val="24"/>
          <w:szCs w:val="24"/>
        </w:rPr>
        <w:t>。</w:t>
      </w:r>
      <w:r>
        <w:rPr>
          <w:rFonts w:hint="eastAsia" w:ascii="Times New Roman" w:hAnsi="Times New Roman" w:eastAsia="宋体"/>
          <w:sz w:val="24"/>
          <w:szCs w:val="24"/>
        </w:rPr>
        <w:t>主要建设内容</w:t>
      </w:r>
      <w:r>
        <w:rPr>
          <w:rFonts w:ascii="Times New Roman" w:hAnsi="Times New Roman" w:eastAsia="宋体"/>
          <w:sz w:val="24"/>
          <w:szCs w:val="24"/>
        </w:rPr>
        <w:t>有生产装置区、装卸车设施、原料罐组、产品罐组、中心主控室、总变电所、消防设施、地面火炬、固废暂存间、化验室、空压站、循环水池、备品备件库及研发中心等</w:t>
      </w:r>
      <w:r>
        <w:rPr>
          <w:rFonts w:hint="eastAsia" w:ascii="Times New Roman" w:hAnsi="Times New Roman" w:eastAsia="宋体"/>
          <w:sz w:val="24"/>
          <w:szCs w:val="24"/>
        </w:rPr>
        <w:t>。项目总占地100亩，</w:t>
      </w:r>
      <w:r>
        <w:rPr>
          <w:rFonts w:hint="eastAsia" w:ascii="Times New Roman" w:hAnsi="Times New Roman" w:eastAsia="宋体" w:cs="Times New Roman"/>
          <w:sz w:val="24"/>
          <w:szCs w:val="24"/>
        </w:rPr>
        <w:t>项目</w:t>
      </w:r>
      <w:r>
        <w:rPr>
          <w:rFonts w:ascii="Times New Roman" w:hAnsi="Times New Roman" w:eastAsia="宋体" w:cs="Times New Roman"/>
          <w:sz w:val="24"/>
          <w:szCs w:val="24"/>
        </w:rPr>
        <w:t>总投资</w:t>
      </w:r>
      <w:r>
        <w:rPr>
          <w:rFonts w:hint="eastAsia" w:ascii="Times New Roman" w:hAnsi="Times New Roman" w:eastAsia="宋体" w:cs="Times New Roman"/>
          <w:sz w:val="24"/>
          <w:szCs w:val="24"/>
        </w:rPr>
        <w:t>约</w:t>
      </w:r>
      <w:r>
        <w:rPr>
          <w:rFonts w:ascii="Times New Roman" w:hAnsi="Times New Roman" w:eastAsia="宋体" w:cs="Times New Roman"/>
          <w:sz w:val="24"/>
          <w:szCs w:val="24"/>
        </w:rPr>
        <w:t>58000</w:t>
      </w:r>
      <w:r>
        <w:rPr>
          <w:rFonts w:hint="eastAsia" w:ascii="Times New Roman" w:hAnsi="Times New Roman" w:eastAsia="宋体" w:cs="Times New Roman"/>
          <w:sz w:val="24"/>
          <w:szCs w:val="24"/>
        </w:rPr>
        <w:t>万元，</w:t>
      </w:r>
      <w:r>
        <w:rPr>
          <w:rFonts w:hint="eastAsia" w:ascii="Times New Roman" w:hAnsi="Times New Roman" w:eastAsia="宋体"/>
          <w:sz w:val="24"/>
          <w:szCs w:val="24"/>
        </w:rPr>
        <w:t>项目环保总投资为2330万元</w:t>
      </w:r>
      <w:r>
        <w:rPr>
          <w:rFonts w:hint="eastAsia" w:ascii="Times New Roman" w:hAnsi="Times New Roman" w:eastAsia="宋体" w:cs="Times New Roman"/>
          <w:sz w:val="24"/>
          <w:szCs w:val="24"/>
        </w:rPr>
        <w:t>。劳动</w:t>
      </w:r>
      <w:r>
        <w:rPr>
          <w:rFonts w:ascii="Times New Roman" w:hAnsi="Times New Roman" w:eastAsia="宋体"/>
          <w:sz w:val="24"/>
          <w:szCs w:val="24"/>
        </w:rPr>
        <w:t>定员人数</w:t>
      </w:r>
      <w:r>
        <w:rPr>
          <w:rFonts w:hint="eastAsia" w:ascii="Times New Roman" w:hAnsi="Times New Roman" w:eastAsia="宋体"/>
          <w:sz w:val="24"/>
          <w:szCs w:val="24"/>
        </w:rPr>
        <w:t>80</w:t>
      </w:r>
      <w:r>
        <w:rPr>
          <w:rFonts w:ascii="Times New Roman" w:hAnsi="Times New Roman" w:eastAsia="宋体"/>
          <w:sz w:val="24"/>
          <w:szCs w:val="24"/>
        </w:rPr>
        <w:t>人</w:t>
      </w:r>
      <w:r>
        <w:rPr>
          <w:rFonts w:hint="eastAsia" w:ascii="Times New Roman" w:hAnsi="Times New Roman" w:eastAsia="宋体"/>
          <w:sz w:val="24"/>
          <w:szCs w:val="24"/>
        </w:rPr>
        <w:t>，</w:t>
      </w:r>
      <w:r>
        <w:rPr>
          <w:rFonts w:ascii="Times New Roman" w:hAnsi="Times New Roman" w:eastAsia="宋体"/>
          <w:sz w:val="24"/>
          <w:szCs w:val="24"/>
        </w:rPr>
        <w:t>三班制，年工作330天</w:t>
      </w:r>
      <w:r>
        <w:rPr>
          <w:rFonts w:hint="eastAsia" w:ascii="Times New Roman" w:hAnsi="Times New Roman" w:eastAsia="宋体"/>
          <w:sz w:val="24"/>
          <w:szCs w:val="24"/>
        </w:rPr>
        <w:t>以上。</w:t>
      </w:r>
    </w:p>
    <w:p>
      <w:pPr>
        <w:spacing w:line="480" w:lineRule="exact"/>
        <w:ind w:firstLine="480" w:firstLineChars="200"/>
        <w:rPr>
          <w:rFonts w:ascii="宋体" w:hAnsi="宋体" w:eastAsia="宋体" w:cs="Arial"/>
          <w:sz w:val="24"/>
          <w:szCs w:val="24"/>
        </w:rPr>
      </w:pPr>
      <w:r>
        <w:rPr>
          <w:rFonts w:hint="eastAsia" w:ascii="Times New Roman" w:hAnsi="Times New Roman" w:eastAsia="宋体" w:cs="Times New Roman"/>
          <w:sz w:val="24"/>
          <w:szCs w:val="24"/>
        </w:rPr>
        <w:t>随着行业技术的不断革新，建设单位拟对项目原工艺和设备进行优化，</w:t>
      </w:r>
      <w:r>
        <w:rPr>
          <w:rFonts w:ascii="Times New Roman" w:hAnsi="Times New Roman" w:eastAsia="宋体" w:cs="Times New Roman"/>
          <w:sz w:val="24"/>
          <w:szCs w:val="24"/>
        </w:rPr>
        <w:t>减少</w:t>
      </w:r>
      <w:r>
        <w:rPr>
          <w:rFonts w:hint="eastAsia" w:ascii="Times New Roman" w:hAnsi="Times New Roman" w:eastAsia="宋体" w:cs="Times New Roman"/>
          <w:sz w:val="24"/>
          <w:szCs w:val="24"/>
        </w:rPr>
        <w:t>产污环节，</w:t>
      </w:r>
      <w:r>
        <w:rPr>
          <w:rFonts w:ascii="Times New Roman" w:hAnsi="Times New Roman" w:eastAsia="宋体" w:cs="Times New Roman"/>
          <w:sz w:val="24"/>
          <w:szCs w:val="24"/>
        </w:rPr>
        <w:t>更好</w:t>
      </w:r>
      <w:r>
        <w:rPr>
          <w:rFonts w:hint="eastAsia" w:ascii="Times New Roman" w:hAnsi="Times New Roman" w:eastAsia="宋体" w:cs="Times New Roman"/>
          <w:sz w:val="24"/>
          <w:szCs w:val="24"/>
        </w:rPr>
        <w:t>地实现节能减排。</w:t>
      </w:r>
    </w:p>
    <w:p>
      <w:pPr>
        <w:pStyle w:val="40"/>
        <w:rPr>
          <w:snapToGrid w:val="0"/>
          <w:color w:val="auto"/>
        </w:rPr>
      </w:pPr>
      <w:bookmarkStart w:id="118" w:name="_Toc8391592"/>
      <w:r>
        <w:rPr>
          <w:rFonts w:hint="eastAsia"/>
          <w:snapToGrid w:val="0"/>
          <w:color w:val="auto"/>
        </w:rPr>
        <w:t>7.1.2环境影响分析</w:t>
      </w:r>
      <w:bookmarkEnd w:id="118"/>
    </w:p>
    <w:p>
      <w:pPr>
        <w:spacing w:line="480" w:lineRule="exact"/>
        <w:ind w:firstLine="480" w:firstLineChars="200"/>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w:t>
      </w:r>
      <w:r>
        <w:rPr>
          <w:rFonts w:hint="eastAsia" w:ascii="宋体" w:hAnsi="宋体" w:eastAsia="宋体" w:cs="Arial"/>
          <w:sz w:val="24"/>
          <w:szCs w:val="24"/>
        </w:rPr>
        <w:t>环境空气</w:t>
      </w:r>
    </w:p>
    <w:p>
      <w:pPr>
        <w:spacing w:line="480" w:lineRule="exact"/>
        <w:ind w:firstLine="480" w:firstLineChars="200"/>
        <w:rPr>
          <w:rFonts w:ascii="宋体" w:hAnsi="宋体" w:eastAsia="宋体" w:cs="Arial"/>
          <w:sz w:val="24"/>
          <w:szCs w:val="24"/>
        </w:rPr>
      </w:pPr>
      <w:r>
        <w:rPr>
          <w:rFonts w:ascii="Times New Roman" w:hAnsi="Times New Roman" w:eastAsia="宋体" w:cs="Times New Roman"/>
          <w:kern w:val="0"/>
          <w:sz w:val="24"/>
          <w:szCs w:val="24"/>
        </w:rPr>
        <w:t>评价区域内</w:t>
      </w:r>
      <w:r>
        <w:rPr>
          <w:rFonts w:ascii="Times New Roman" w:hAnsi="Times New Roman" w:eastAsia="宋体" w:cs="Times New Roman"/>
          <w:sz w:val="24"/>
        </w:rPr>
        <w:t>各现状监测点SO</w:t>
      </w:r>
      <w:r>
        <w:rPr>
          <w:rFonts w:ascii="Times New Roman" w:hAnsi="Times New Roman" w:eastAsia="宋体" w:cs="Times New Roman"/>
          <w:sz w:val="24"/>
          <w:vertAlign w:val="subscript"/>
        </w:rPr>
        <w:t>2</w:t>
      </w:r>
      <w:r>
        <w:rPr>
          <w:rFonts w:ascii="Times New Roman" w:hAnsi="Times New Roman" w:eastAsia="宋体" w:cs="Times New Roman"/>
          <w:sz w:val="24"/>
        </w:rPr>
        <w:t>、NOx、PM</w:t>
      </w:r>
      <w:r>
        <w:rPr>
          <w:rFonts w:ascii="Times New Roman" w:hAnsi="Times New Roman" w:eastAsia="宋体" w:cs="Times New Roman"/>
          <w:sz w:val="24"/>
          <w:vertAlign w:val="subscript"/>
        </w:rPr>
        <w:t>10</w:t>
      </w:r>
      <w:r>
        <w:rPr>
          <w:rFonts w:ascii="Times New Roman" w:hAnsi="Times New Roman" w:eastAsia="宋体" w:cs="Times New Roman"/>
          <w:sz w:val="24"/>
        </w:rPr>
        <w:t>、NH</w:t>
      </w:r>
      <w:r>
        <w:rPr>
          <w:rFonts w:ascii="Times New Roman" w:hAnsi="Times New Roman" w:eastAsia="宋体" w:cs="Times New Roman"/>
          <w:sz w:val="24"/>
          <w:vertAlign w:val="subscript"/>
        </w:rPr>
        <w:t>3</w:t>
      </w:r>
      <w:r>
        <w:rPr>
          <w:rFonts w:ascii="Times New Roman" w:hAnsi="Times New Roman" w:eastAsia="宋体" w:cs="Times New Roman"/>
          <w:sz w:val="24"/>
        </w:rPr>
        <w:t>、H</w:t>
      </w:r>
      <w:r>
        <w:rPr>
          <w:rFonts w:ascii="Times New Roman" w:hAnsi="Times New Roman" w:eastAsia="宋体" w:cs="Times New Roman"/>
          <w:sz w:val="24"/>
          <w:vertAlign w:val="subscript"/>
        </w:rPr>
        <w:t>2</w:t>
      </w:r>
      <w:r>
        <w:rPr>
          <w:rFonts w:ascii="Times New Roman" w:hAnsi="Times New Roman" w:eastAsia="宋体" w:cs="Times New Roman"/>
          <w:sz w:val="24"/>
        </w:rPr>
        <w:t>S、非甲烷总烃污染物均未超过环境质量标准限值，网格点预测结果均未超标，不会对周边环境产生影响。</w:t>
      </w:r>
    </w:p>
    <w:p>
      <w:pPr>
        <w:spacing w:line="480" w:lineRule="exact"/>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地表水</w:t>
      </w:r>
    </w:p>
    <w:p>
      <w:pPr>
        <w:spacing w:line="480" w:lineRule="exact"/>
        <w:ind w:firstLine="480" w:firstLineChars="200"/>
        <w:rPr>
          <w:rFonts w:ascii="宋体" w:hAnsi="宋体" w:eastAsia="宋体" w:cs="Arial"/>
          <w:sz w:val="24"/>
          <w:szCs w:val="24"/>
        </w:rPr>
      </w:pPr>
      <w:r>
        <w:rPr>
          <w:rFonts w:hint="eastAsia" w:ascii="Times New Roman" w:hAnsi="Times New Roman" w:eastAsia="宋体" w:cs="Times New Roman"/>
          <w:sz w:val="24"/>
          <w:szCs w:val="24"/>
        </w:rPr>
        <w:t>变更后，</w:t>
      </w:r>
      <w:r>
        <w:rPr>
          <w:rFonts w:ascii="Times New Roman" w:hAnsi="Times New Roman" w:eastAsia="宋体" w:cs="Times New Roman"/>
          <w:sz w:val="24"/>
          <w:szCs w:val="24"/>
        </w:rPr>
        <w:t>全厂</w:t>
      </w:r>
      <w:r>
        <w:rPr>
          <w:rFonts w:hint="eastAsia" w:ascii="Times New Roman" w:hAnsi="Times New Roman" w:eastAsia="宋体" w:cs="Times New Roman"/>
          <w:sz w:val="24"/>
          <w:szCs w:val="24"/>
        </w:rPr>
        <w:t>废水排放总量减少。</w:t>
      </w:r>
      <w:r>
        <w:rPr>
          <w:rFonts w:hint="eastAsia" w:ascii="Times New Roman" w:hAnsi="Times New Roman" w:eastAsia="宋体" w:cs="Times New Roman"/>
          <w:kern w:val="0"/>
          <w:sz w:val="24"/>
          <w:szCs w:val="24"/>
        </w:rPr>
        <w:t>项目外排废水不直接排入地表水体，经濮阳市第二污水处理厂处理后外排入顺河沟，最终进入马颊河。因此，</w:t>
      </w:r>
      <w:r>
        <w:rPr>
          <w:rFonts w:ascii="Times New Roman" w:hAnsi="Times New Roman" w:eastAsia="宋体" w:cs="Times New Roman"/>
          <w:kern w:val="0"/>
          <w:sz w:val="24"/>
          <w:szCs w:val="24"/>
        </w:rPr>
        <w:t>本项目对地表水体影响</w:t>
      </w:r>
      <w:r>
        <w:rPr>
          <w:rFonts w:hint="eastAsia" w:ascii="Times New Roman" w:hAnsi="Times New Roman" w:eastAsia="宋体" w:cs="Times New Roman"/>
          <w:kern w:val="0"/>
          <w:sz w:val="24"/>
          <w:szCs w:val="24"/>
        </w:rPr>
        <w:t>较小</w:t>
      </w:r>
      <w:r>
        <w:rPr>
          <w:rFonts w:ascii="Times New Roman" w:hAnsi="Times New Roman" w:eastAsia="宋体" w:cs="Times New Roman"/>
          <w:kern w:val="0"/>
          <w:sz w:val="24"/>
          <w:szCs w:val="24"/>
        </w:rPr>
        <w:t>。</w:t>
      </w:r>
    </w:p>
    <w:p>
      <w:pPr>
        <w:spacing w:line="480" w:lineRule="exact"/>
        <w:ind w:firstLine="480" w:firstLineChars="200"/>
        <w:rPr>
          <w:rFonts w:ascii="宋体" w:hAnsi="宋体" w:eastAsia="宋体" w:cs="Arial"/>
          <w:sz w:val="24"/>
          <w:szCs w:val="24"/>
        </w:rPr>
      </w:pPr>
      <w:r>
        <w:rPr>
          <w:rFonts w:hint="eastAsia" w:ascii="宋体" w:hAnsi="宋体" w:eastAsia="宋体" w:cs="Arial"/>
          <w:sz w:val="24"/>
          <w:szCs w:val="24"/>
        </w:rPr>
        <w:t>（3）地下水</w:t>
      </w:r>
    </w:p>
    <w:p>
      <w:pPr>
        <w:spacing w:line="480" w:lineRule="exact"/>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在正常情况下，根据污水处理方案，本项目所有污废水经过处理达到达标后排放，不会直接进入地下水，本项目不会对地下水产生明显的不利影响。</w:t>
      </w:r>
    </w:p>
    <w:p>
      <w:pPr>
        <w:spacing w:line="48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在非正常工况下，污染物渗入会引起较为明显的增值，且会在长时间内造成较大的污染。本项目所在地周边均已实现自来水供应，水井已基本废弃或不在作为饮用水，因此在发生事故时，地下水污染对周边群众的日常生活不会造成大的影响。</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（4）声环境</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项目东、西、南、北厂界</w:t>
      </w:r>
      <w:r>
        <w:rPr>
          <w:rFonts w:ascii="Times New Roman" w:hAnsi="Times New Roman" w:eastAsia="宋体" w:cs="Times New Roman"/>
          <w:sz w:val="24"/>
          <w:szCs w:val="24"/>
        </w:rPr>
        <w:t>昼、夜噪声预测值均满足《工业企业厂界环境噪声排放标准》（GB12348-2008）3类和4类标准要求且本项目周围200m范围内没有环境敏感点。故项目噪声对周围环境不会造成影响。</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（5）固体废物</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在运营过程中产生的固废主要有危险废弃物及生活垃圾。项目生活垃圾定期交于市政环卫部门清理。项目产生的危险废物先暂存于1座200m2危废暂存间，最终交与有资质的单位处置。危废暂存间建设按照《危险废物贮存污染控制标准》（GB18597-2001)中的相关标准执行。</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在加强管理，并落实好各项污染防治措施和固体废物安全处置措施的前提下，项目产生的固体废物对周围环境的影响较小。</w:t>
      </w:r>
    </w:p>
    <w:p>
      <w:pPr>
        <w:pStyle w:val="40"/>
        <w:rPr>
          <w:snapToGrid w:val="0"/>
          <w:color w:val="auto"/>
        </w:rPr>
      </w:pPr>
      <w:bookmarkStart w:id="119" w:name="_Toc8391593"/>
      <w:r>
        <w:rPr>
          <w:rFonts w:hint="eastAsia"/>
          <w:snapToGrid w:val="0"/>
          <w:color w:val="auto"/>
        </w:rPr>
        <w:t>7.1.3 环境保护措施分析</w:t>
      </w:r>
      <w:bookmarkEnd w:id="119"/>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1</w:t>
      </w:r>
      <w:r>
        <w:rPr>
          <w:rFonts w:ascii="Times New Roman" w:hAnsi="Times New Roman" w:eastAsia="宋体" w:cs="Times New Roman"/>
          <w:sz w:val="24"/>
          <w:szCs w:val="24"/>
        </w:rPr>
        <w:t>）废水</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项目工艺废水、地面冲洗废水、</w:t>
      </w:r>
      <w:r>
        <w:rPr>
          <w:rFonts w:hint="eastAsia" w:ascii="Times New Roman" w:hAnsi="Times New Roman" w:eastAsia="宋体" w:cs="Times New Roman"/>
          <w:sz w:val="24"/>
          <w:szCs w:val="24"/>
        </w:rPr>
        <w:t>生活污水等</w:t>
      </w:r>
      <w:r>
        <w:rPr>
          <w:rFonts w:ascii="Times New Roman" w:hAnsi="Times New Roman" w:eastAsia="宋体" w:cs="Times New Roman"/>
          <w:sz w:val="24"/>
          <w:szCs w:val="24"/>
        </w:rPr>
        <w:t>集中收集后进入厂区污水处理站进行处理，</w:t>
      </w:r>
      <w:r>
        <w:rPr>
          <w:rFonts w:hint="eastAsia" w:ascii="宋体" w:hAnsi="宋体" w:eastAsia="宋体" w:cs="Arial"/>
          <w:sz w:val="24"/>
          <w:szCs w:val="24"/>
        </w:rPr>
        <w:t>含油废水（</w:t>
      </w:r>
      <w:r>
        <w:rPr>
          <w:rFonts w:hint="eastAsia" w:ascii="Times New Roman" w:hAnsi="Times New Roman" w:eastAsia="宋体" w:cs="Times New Roman"/>
          <w:sz w:val="24"/>
          <w:szCs w:val="24"/>
        </w:rPr>
        <w:t>预处理含油废水、罐区废水、</w:t>
      </w:r>
      <w:r>
        <w:rPr>
          <w:rFonts w:ascii="Times New Roman" w:hAnsi="Times New Roman" w:eastAsia="宋体" w:cs="Times New Roman"/>
          <w:sz w:val="24"/>
          <w:szCs w:val="24"/>
        </w:rPr>
        <w:t>化验室</w:t>
      </w:r>
      <w:r>
        <w:rPr>
          <w:rFonts w:hint="eastAsia" w:ascii="Times New Roman" w:hAnsi="Times New Roman" w:eastAsia="宋体" w:cs="Times New Roman"/>
          <w:sz w:val="24"/>
          <w:szCs w:val="24"/>
        </w:rPr>
        <w:t>废水、</w:t>
      </w:r>
      <w:r>
        <w:rPr>
          <w:rFonts w:ascii="Times New Roman" w:hAnsi="Times New Roman" w:eastAsia="宋体" w:cs="Times New Roman"/>
          <w:sz w:val="24"/>
          <w:szCs w:val="24"/>
        </w:rPr>
        <w:t>地面</w:t>
      </w:r>
      <w:r>
        <w:rPr>
          <w:rFonts w:hint="eastAsia" w:ascii="Times New Roman" w:hAnsi="Times New Roman" w:eastAsia="宋体" w:cs="Times New Roman"/>
          <w:sz w:val="24"/>
          <w:szCs w:val="24"/>
        </w:rPr>
        <w:t>冲洗水、</w:t>
      </w:r>
      <w:r>
        <w:rPr>
          <w:rFonts w:ascii="Times New Roman" w:hAnsi="Times New Roman" w:eastAsia="宋体" w:cs="Times New Roman"/>
          <w:sz w:val="24"/>
          <w:szCs w:val="24"/>
        </w:rPr>
        <w:t>未预见水</w:t>
      </w:r>
      <w:r>
        <w:rPr>
          <w:rFonts w:ascii="宋体" w:hAnsi="宋体" w:eastAsia="宋体" w:cs="Arial"/>
          <w:sz w:val="24"/>
          <w:szCs w:val="24"/>
        </w:rPr>
        <w:t>）</w:t>
      </w:r>
      <w:r>
        <w:rPr>
          <w:rFonts w:hint="eastAsia" w:ascii="Times New Roman" w:hAnsi="Times New Roman" w:eastAsia="宋体" w:cs="Times New Roman"/>
          <w:kern w:val="0"/>
          <w:sz w:val="24"/>
          <w:szCs w:val="24"/>
        </w:rPr>
        <w:t>首先进行单独除油，采用隔油+气浮工艺，预处理出水与生活污水混合后进行生化处理，</w:t>
      </w:r>
      <w:r>
        <w:rPr>
          <w:rFonts w:ascii="Times New Roman" w:hAnsi="Times New Roman" w:eastAsia="宋体" w:cs="Times New Roman"/>
          <w:kern w:val="0"/>
          <w:sz w:val="24"/>
          <w:szCs w:val="24"/>
        </w:rPr>
        <w:t>采取“调节+</w:t>
      </w:r>
      <w:r>
        <w:rPr>
          <w:rFonts w:hint="eastAsia" w:ascii="Times New Roman" w:hAnsi="Times New Roman" w:eastAsia="宋体" w:cs="Times New Roman"/>
          <w:kern w:val="0"/>
          <w:sz w:val="24"/>
          <w:szCs w:val="24"/>
        </w:rPr>
        <w:t>水解酸化</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 xml:space="preserve"> UASB</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 xml:space="preserve"> A/O</w:t>
      </w:r>
      <w:r>
        <w:rPr>
          <w:rFonts w:ascii="Times New Roman" w:hAnsi="Times New Roman" w:eastAsia="宋体" w:cs="Times New Roman"/>
          <w:kern w:val="0"/>
          <w:sz w:val="24"/>
          <w:szCs w:val="24"/>
        </w:rPr>
        <w:t>”处理工艺。</w:t>
      </w:r>
      <w:r>
        <w:rPr>
          <w:rFonts w:ascii="Times New Roman" w:hAnsi="Times New Roman" w:eastAsia="宋体" w:cs="Times New Roman"/>
          <w:sz w:val="24"/>
          <w:szCs w:val="24"/>
        </w:rPr>
        <w:t>处理后的生产废水</w:t>
      </w:r>
      <w:r>
        <w:rPr>
          <w:rFonts w:hint="eastAsia" w:ascii="Times New Roman" w:hAnsi="Times New Roman" w:eastAsia="宋体" w:cs="Times New Roman"/>
          <w:sz w:val="24"/>
          <w:szCs w:val="24"/>
        </w:rPr>
        <w:t>和生活污水</w:t>
      </w:r>
      <w:r>
        <w:rPr>
          <w:rFonts w:ascii="Times New Roman" w:hAnsi="Times New Roman" w:eastAsia="宋体" w:cs="Times New Roman"/>
          <w:sz w:val="24"/>
          <w:szCs w:val="24"/>
        </w:rPr>
        <w:t>达到</w:t>
      </w:r>
      <w:r>
        <w:rPr>
          <w:rFonts w:hint="eastAsia" w:ascii="Times New Roman" w:hAnsi="Times New Roman" w:eastAsia="宋体" w:cs="Times New Roman"/>
          <w:sz w:val="24"/>
          <w:szCs w:val="24"/>
        </w:rPr>
        <w:t>《污水综合排放标准》（GB8978-1996）表4二级</w:t>
      </w:r>
      <w:r>
        <w:rPr>
          <w:rFonts w:ascii="Times New Roman" w:hAnsi="Times New Roman" w:eastAsia="宋体" w:cs="Times New Roman"/>
          <w:sz w:val="24"/>
          <w:szCs w:val="24"/>
        </w:rPr>
        <w:t>标准及</w:t>
      </w:r>
      <w:r>
        <w:rPr>
          <w:rFonts w:hint="eastAsia" w:ascii="Times New Roman" w:hAnsi="Times New Roman" w:eastAsia="宋体" w:cs="Times New Roman"/>
          <w:sz w:val="24"/>
          <w:szCs w:val="24"/>
        </w:rPr>
        <w:t>濮阳市第二污水处理厂</w:t>
      </w:r>
      <w:r>
        <w:rPr>
          <w:rFonts w:ascii="Times New Roman" w:hAnsi="Times New Roman" w:eastAsia="宋体" w:cs="Times New Roman"/>
          <w:sz w:val="24"/>
          <w:szCs w:val="24"/>
        </w:rPr>
        <w:t>进水水质要求后，排入</w:t>
      </w:r>
      <w:r>
        <w:rPr>
          <w:rFonts w:hint="eastAsia" w:ascii="Times New Roman" w:hAnsi="Times New Roman" w:eastAsia="宋体" w:cs="Times New Roman"/>
          <w:sz w:val="24"/>
          <w:szCs w:val="24"/>
        </w:rPr>
        <w:t>顺河沟，最终排入马颊河</w:t>
      </w:r>
      <w:r>
        <w:rPr>
          <w:rFonts w:ascii="Times New Roman" w:hAnsi="Times New Roman" w:eastAsia="宋体" w:cs="Times New Roman"/>
          <w:sz w:val="24"/>
          <w:szCs w:val="24"/>
        </w:rPr>
        <w:t>。</w:t>
      </w:r>
      <w:r>
        <w:rPr>
          <w:rFonts w:hint="eastAsia" w:ascii="Times New Roman" w:hAnsi="Times New Roman" w:eastAsia="宋体" w:cs="Times New Roman"/>
          <w:sz w:val="24"/>
          <w:szCs w:val="24"/>
        </w:rPr>
        <w:t>污废水经有效处理后，可以实现达标排放，因此本项目污水处理措施是可行的。</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ascii="Times New Roman" w:hAnsi="Times New Roman" w:eastAsia="宋体" w:cs="Times New Roman"/>
          <w:sz w:val="24"/>
          <w:szCs w:val="24"/>
        </w:rPr>
        <w:t>）废气</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①项目生产废气主要是溶剂精馏单元和减压蒸馏单元分离出的轻组分抽出经冷凝器冷凝后，未冷凝的不凝气经真空泵进入水封罐后送至减压炉燃烧，燃烧废气（主要污染物为</w:t>
      </w:r>
      <w:r>
        <w:rPr>
          <w:rFonts w:ascii="Times New Roman" w:hAnsi="Times New Roman" w:eastAsia="宋体" w:cs="Times New Roman"/>
          <w:sz w:val="24"/>
          <w:szCs w:val="24"/>
        </w:rPr>
        <w:t xml:space="preserve"> SO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无害CO</w:t>
      </w:r>
      <w:r>
        <w:rPr>
          <w:rFonts w:hint="eastAsia" w:ascii="Times New Roman" w:hAnsi="Times New Roman" w:eastAsia="宋体" w:cs="Times New Roman"/>
          <w:sz w:val="24"/>
          <w:szCs w:val="24"/>
          <w:vertAlign w:val="subscript"/>
        </w:rPr>
        <w:t>2</w:t>
      </w:r>
      <w:r>
        <w:rPr>
          <w:rFonts w:ascii="Times New Roman" w:hAnsi="Times New Roman" w:eastAsia="宋体" w:cs="Times New Roman"/>
          <w:sz w:val="24"/>
          <w:szCs w:val="24"/>
        </w:rPr>
        <w:t>及水蒸气等）</w:t>
      </w:r>
      <w:r>
        <w:rPr>
          <w:rFonts w:hint="eastAsia" w:ascii="Times New Roman" w:hAnsi="Times New Roman" w:eastAsia="宋体" w:cs="Times New Roman"/>
          <w:sz w:val="24"/>
          <w:szCs w:val="24"/>
        </w:rPr>
        <w:t>和减压炉燃烧天然气的废气一同通过</w:t>
      </w:r>
      <w:r>
        <w:rPr>
          <w:rFonts w:ascii="Times New Roman" w:hAnsi="Times New Roman" w:eastAsia="宋体" w:cs="Times New Roman"/>
          <w:sz w:val="24"/>
          <w:szCs w:val="24"/>
        </w:rPr>
        <w:t>28m</w:t>
      </w:r>
      <w:r>
        <w:rPr>
          <w:rFonts w:hint="eastAsia" w:ascii="Times New Roman" w:hAnsi="Times New Roman" w:eastAsia="宋体" w:cs="Times New Roman"/>
          <w:sz w:val="24"/>
          <w:szCs w:val="24"/>
        </w:rPr>
        <w:t>的排气筒排入大气，导热油炉的烟气通过</w:t>
      </w:r>
      <w:r>
        <w:rPr>
          <w:rFonts w:ascii="Times New Roman" w:hAnsi="Times New Roman" w:eastAsia="宋体" w:cs="Times New Roman"/>
          <w:sz w:val="24"/>
          <w:szCs w:val="24"/>
        </w:rPr>
        <w:t>30m</w:t>
      </w:r>
      <w:r>
        <w:rPr>
          <w:rFonts w:hint="eastAsia" w:ascii="Times New Roman" w:hAnsi="Times New Roman" w:eastAsia="宋体" w:cs="Times New Roman"/>
          <w:sz w:val="24"/>
          <w:szCs w:val="24"/>
        </w:rPr>
        <w:t>的排气筒排入大气。</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②装车平台设置油气回收设施，部分油气经吸附塔吸附后排放。</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③地上罐体外壁涂白色隔热材料等通过降温降低挥发量；优化罐型设计，采用浮顶罐装置；制订合理的收发方案，尽量保持储罐装满。</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④罐区小呼吸损耗和污水处理站污水处理设施运行中产生的废气分别经密闭的管道运送至微生物吸附装置处理过后由15m排气筒排出。</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⑤装置开停工或操作不正常时安全阀排放的含烃气体，密闭排放至</w:t>
      </w:r>
      <w:r>
        <w:rPr>
          <w:rFonts w:ascii="Times New Roman" w:hAnsi="Times New Roman" w:eastAsia="宋体" w:cs="Times New Roman"/>
          <w:bCs/>
          <w:szCs w:val="21"/>
        </w:rPr>
        <w:t>20t/h</w:t>
      </w:r>
      <w:r>
        <w:rPr>
          <w:rFonts w:hint="eastAsia" w:ascii="Times New Roman" w:hAnsi="Times New Roman" w:eastAsia="宋体" w:cs="Times New Roman"/>
          <w:sz w:val="24"/>
          <w:szCs w:val="24"/>
        </w:rPr>
        <w:t>的地面火炬燃烧后引至高空排放。</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（3）固体废物</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本项目运营期产生的固体废物有危险废物及办公生活垃圾。危险废物包括含油残渣、废抹布、废活性炭及含油污泥等，交给有资质的单位处置；生活垃圾拟交由当地环卫部门处理。</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（4）噪声</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本项目运营过程中产生噪声的设备主要有各类机泵、冷却塔、空气压缩机、备用发电机等，采取的噪声污染防治措施主要有：选用低噪声设备，采用隔声、消音器、减震等措施等。</w:t>
      </w:r>
    </w:p>
    <w:p>
      <w:pPr>
        <w:pStyle w:val="40"/>
        <w:rPr>
          <w:snapToGrid w:val="0"/>
          <w:color w:val="auto"/>
        </w:rPr>
      </w:pPr>
      <w:bookmarkStart w:id="120" w:name="_Toc8391594"/>
      <w:r>
        <w:rPr>
          <w:rFonts w:hint="eastAsia"/>
          <w:snapToGrid w:val="0"/>
          <w:color w:val="auto"/>
        </w:rPr>
        <w:t>7.1.4 总量控制</w:t>
      </w:r>
      <w:bookmarkEnd w:id="120"/>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项目变更后，项目</w:t>
      </w:r>
      <w:r>
        <w:rPr>
          <w:rFonts w:hint="eastAsia" w:ascii="Times New Roman" w:hAnsi="Times New Roman" w:eastAsia="宋体" w:cs="Times New Roman"/>
          <w:sz w:val="24"/>
          <w:szCs w:val="24"/>
        </w:rPr>
        <w:t>废气中</w:t>
      </w:r>
      <w:r>
        <w:rPr>
          <w:rFonts w:ascii="Times New Roman" w:hAnsi="Times New Roman" w:eastAsia="宋体" w:cs="Times New Roman"/>
          <w:sz w:val="24"/>
          <w:szCs w:val="24"/>
        </w:rPr>
        <w:t>二氧化硫</w:t>
      </w:r>
      <w:r>
        <w:rPr>
          <w:rFonts w:hint="eastAsia" w:ascii="Times New Roman" w:hAnsi="Times New Roman" w:eastAsia="宋体" w:cs="Times New Roman"/>
          <w:sz w:val="24"/>
          <w:szCs w:val="24"/>
        </w:rPr>
        <w:t>排放量为</w:t>
      </w:r>
      <w:r>
        <w:rPr>
          <w:rFonts w:ascii="Times New Roman" w:hAnsi="Times New Roman" w:eastAsia="宋体" w:cs="Times New Roman"/>
          <w:sz w:val="24"/>
          <w:szCs w:val="24"/>
        </w:rPr>
        <w:t xml:space="preserve">2.08 </w:t>
      </w:r>
      <w:r>
        <w:rPr>
          <w:rFonts w:hint="eastAsia" w:ascii="Times New Roman" w:hAnsi="Times New Roman" w:eastAsia="宋体" w:cs="Times New Roman"/>
          <w:sz w:val="24"/>
          <w:szCs w:val="24"/>
        </w:rPr>
        <w:t>t/a</w:t>
      </w:r>
      <w:r>
        <w:rPr>
          <w:rFonts w:ascii="Times New Roman" w:hAnsi="Times New Roman" w:eastAsia="宋体" w:cs="Times New Roman"/>
          <w:sz w:val="24"/>
          <w:szCs w:val="24"/>
        </w:rPr>
        <w:t xml:space="preserve">、氮氧化物5.1 </w:t>
      </w:r>
      <w:r>
        <w:rPr>
          <w:rFonts w:hint="eastAsia" w:ascii="Times New Roman" w:hAnsi="Times New Roman" w:eastAsia="宋体" w:cs="Times New Roman"/>
          <w:sz w:val="24"/>
          <w:szCs w:val="24"/>
        </w:rPr>
        <w:t>t/a，非甲烷总烃排放总量为2.</w:t>
      </w:r>
      <w:r>
        <w:rPr>
          <w:rFonts w:ascii="Times New Roman" w:hAnsi="Times New Roman" w:eastAsia="宋体" w:cs="Times New Roman"/>
          <w:sz w:val="24"/>
          <w:szCs w:val="24"/>
        </w:rPr>
        <w:t xml:space="preserve">84394 </w:t>
      </w:r>
      <w:r>
        <w:rPr>
          <w:rFonts w:hint="eastAsia" w:ascii="Times New Roman" w:hAnsi="Times New Roman" w:eastAsia="宋体" w:cs="Times New Roman"/>
          <w:sz w:val="24"/>
          <w:szCs w:val="24"/>
        </w:rPr>
        <w:t>t/a</w:t>
      </w:r>
      <w:r>
        <w:rPr>
          <w:rFonts w:ascii="Times New Roman" w:hAnsi="Times New Roman" w:eastAsia="宋体" w:cs="Times New Roman"/>
          <w:sz w:val="24"/>
          <w:szCs w:val="24"/>
        </w:rPr>
        <w:t>。</w:t>
      </w:r>
      <w:r>
        <w:rPr>
          <w:rFonts w:hint="eastAsia" w:ascii="Times New Roman" w:hAnsi="Times New Roman" w:eastAsia="宋体" w:cs="Times New Roman"/>
          <w:sz w:val="24"/>
          <w:szCs w:val="24"/>
        </w:rPr>
        <w:t>废水中</w:t>
      </w:r>
      <w:r>
        <w:rPr>
          <w:rFonts w:ascii="Times New Roman" w:hAnsi="Times New Roman" w:eastAsia="宋体" w:cs="Times New Roman"/>
          <w:sz w:val="24"/>
          <w:szCs w:val="24"/>
        </w:rPr>
        <w:t>化学需氧量、氨氮排入外环境的量分别为：4.003</w:t>
      </w:r>
      <w:r>
        <w:rPr>
          <w:rFonts w:hint="eastAsia" w:ascii="Times New Roman" w:hAnsi="Times New Roman" w:eastAsia="宋体" w:cs="Times New Roman"/>
          <w:sz w:val="24"/>
          <w:szCs w:val="24"/>
        </w:rPr>
        <w:t>t/a</w:t>
      </w:r>
      <w:r>
        <w:rPr>
          <w:rFonts w:ascii="Times New Roman" w:hAnsi="Times New Roman" w:eastAsia="宋体" w:cs="Times New Roman"/>
          <w:sz w:val="24"/>
          <w:szCs w:val="24"/>
        </w:rPr>
        <w:t xml:space="preserve">和0.200 </w:t>
      </w:r>
      <w:r>
        <w:rPr>
          <w:rFonts w:hint="eastAsia" w:ascii="Times New Roman" w:hAnsi="Times New Roman" w:eastAsia="宋体" w:cs="Times New Roman"/>
          <w:sz w:val="24"/>
          <w:szCs w:val="24"/>
        </w:rPr>
        <w:t>t/a</w:t>
      </w:r>
      <w:r>
        <w:rPr>
          <w:rFonts w:ascii="Times New Roman" w:hAnsi="Times New Roman" w:eastAsia="宋体" w:cs="Times New Roman"/>
          <w:sz w:val="24"/>
          <w:szCs w:val="24"/>
        </w:rPr>
        <w:t>。</w:t>
      </w:r>
    </w:p>
    <w:p>
      <w:pPr>
        <w:pStyle w:val="39"/>
        <w:rPr>
          <w:color w:val="auto"/>
        </w:rPr>
      </w:pPr>
      <w:bookmarkStart w:id="121" w:name="_Toc8391595"/>
      <w:r>
        <w:rPr>
          <w:color w:val="auto"/>
        </w:rPr>
        <w:t>7</w:t>
      </w:r>
      <w:r>
        <w:rPr>
          <w:rFonts w:hint="eastAsia"/>
          <w:color w:val="auto"/>
        </w:rPr>
        <w:t>.</w:t>
      </w:r>
      <w:r>
        <w:rPr>
          <w:color w:val="auto"/>
        </w:rPr>
        <w:t>2</w:t>
      </w:r>
      <w:r>
        <w:rPr>
          <w:rFonts w:hint="eastAsia"/>
          <w:color w:val="auto"/>
        </w:rPr>
        <w:t xml:space="preserve"> 评价总结论</w:t>
      </w:r>
      <w:bookmarkEnd w:id="121"/>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河南科瑞斯环保科技有限公司10万吨/年废矿物油综合利用项目</w:t>
      </w:r>
      <w:r>
        <w:rPr>
          <w:rFonts w:hint="eastAsia" w:ascii="Times New Roman" w:hAnsi="Times New Roman" w:eastAsia="宋体" w:cs="Times New Roman"/>
          <w:sz w:val="24"/>
          <w:szCs w:val="24"/>
        </w:rPr>
        <w:t>位于</w:t>
      </w:r>
      <w:r>
        <w:rPr>
          <w:rFonts w:ascii="Times New Roman" w:hAnsi="Times New Roman" w:eastAsia="宋体" w:cs="Times New Roman"/>
          <w:sz w:val="24"/>
          <w:szCs w:val="24"/>
        </w:rPr>
        <w:t>河南省</w:t>
      </w:r>
      <w:r>
        <w:rPr>
          <w:rFonts w:hint="eastAsia" w:ascii="Times New Roman" w:hAnsi="Times New Roman" w:eastAsia="宋体" w:cs="Times New Roman"/>
          <w:sz w:val="24"/>
          <w:szCs w:val="24"/>
        </w:rPr>
        <w:t>濮阳市经济技术产业集聚区内。项目符合国家产业政策和地方环保政策要求，符合</w:t>
      </w:r>
      <w:r>
        <w:rPr>
          <w:rFonts w:ascii="Times New Roman" w:hAnsi="Times New Roman" w:eastAsia="宋体" w:cs="Times New Roman"/>
          <w:sz w:val="24"/>
          <w:szCs w:val="24"/>
        </w:rPr>
        <w:t>河南省</w:t>
      </w:r>
      <w:r>
        <w:rPr>
          <w:rFonts w:hint="eastAsia" w:ascii="Times New Roman" w:hAnsi="Times New Roman" w:eastAsia="宋体" w:cs="Times New Roman"/>
          <w:sz w:val="24"/>
          <w:szCs w:val="24"/>
        </w:rPr>
        <w:t>濮阳市经济技术产业集聚区规划及规划环评要求。变更后，生产过程中采用了清洁的生产工艺，所采用的污染防治措施技术经济可行，能保证各种污染物稳定达标排放，污染物的排放符合总量控制的要求，该项目正常排放的污染物对周围环境和环境保护目标的影响较小。在落实各项环保措施要求，严格执行环保</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三同时</w:t>
      </w:r>
      <w:r>
        <w:rPr>
          <w:rFonts w:ascii="Times New Roman" w:hAnsi="Times New Roman" w:eastAsia="宋体" w:cs="Times New Roman"/>
          <w:sz w:val="24"/>
          <w:szCs w:val="24"/>
        </w:rPr>
        <w:t>”</w:t>
      </w:r>
      <w:r>
        <w:rPr>
          <w:rFonts w:hint="eastAsia" w:ascii="Times New Roman" w:hAnsi="Times New Roman" w:eastAsia="宋体" w:cs="Times New Roman"/>
          <w:sz w:val="24"/>
          <w:szCs w:val="24"/>
        </w:rPr>
        <w:t>的前提下，项目</w:t>
      </w:r>
      <w:r>
        <w:rPr>
          <w:rFonts w:ascii="Times New Roman" w:hAnsi="Times New Roman" w:eastAsia="宋体" w:cs="Times New Roman"/>
          <w:sz w:val="24"/>
          <w:szCs w:val="24"/>
        </w:rPr>
        <w:t>对环境的影响可以符合国家和地方的环境保护要求，</w:t>
      </w:r>
      <w:r>
        <w:rPr>
          <w:rFonts w:hint="eastAsia" w:ascii="Times New Roman" w:hAnsi="Times New Roman" w:eastAsia="宋体" w:cs="Times New Roman"/>
          <w:sz w:val="24"/>
          <w:szCs w:val="24"/>
        </w:rPr>
        <w:t>从环保角度分析，本项目建设具有环境可行性。</w:t>
      </w:r>
    </w:p>
    <w:p>
      <w:pPr>
        <w:pStyle w:val="39"/>
        <w:rPr>
          <w:color w:val="auto"/>
        </w:rPr>
      </w:pPr>
      <w:bookmarkStart w:id="122" w:name="_Toc8391596"/>
      <w:r>
        <w:rPr>
          <w:color w:val="auto"/>
        </w:rPr>
        <w:t>7</w:t>
      </w:r>
      <w:r>
        <w:rPr>
          <w:rFonts w:hint="eastAsia"/>
          <w:color w:val="auto"/>
        </w:rPr>
        <w:t>.</w:t>
      </w:r>
      <w:r>
        <w:rPr>
          <w:color w:val="auto"/>
        </w:rPr>
        <w:t xml:space="preserve">3 </w:t>
      </w:r>
      <w:r>
        <w:rPr>
          <w:rFonts w:hint="eastAsia"/>
          <w:color w:val="auto"/>
        </w:rPr>
        <w:t>评价建议</w:t>
      </w:r>
      <w:bookmarkEnd w:id="122"/>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项目建成运行后，建设单位还需做好以下工作：</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（1）认真贯彻执行有关建设项目环境保护管理文件的精神，建立健全各项环保规章制度，严格执行“三同时”。</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（2）加强宣传教育力度，将本项目的各项防治措施及效果进行公示，减轻周围公众对本项目的疑虑。</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（3）加强企业科学化管理力度，进入厂区的各类固废经分类之后尽快得到处理，毒害较大或容易发生泄漏的废物优先处理，减少事故风险。确保各种</w:t>
      </w:r>
      <w:r>
        <w:rPr>
          <w:rFonts w:hint="eastAsia" w:ascii="Times New Roman" w:hAnsi="Times New Roman" w:eastAsia="宋体" w:cs="Times New Roman"/>
          <w:sz w:val="24"/>
          <w:szCs w:val="24"/>
        </w:rPr>
        <w:t>废矿物油</w:t>
      </w:r>
      <w:r>
        <w:rPr>
          <w:rFonts w:ascii="Times New Roman" w:hAnsi="Times New Roman" w:eastAsia="宋体" w:cs="Times New Roman"/>
          <w:sz w:val="24"/>
          <w:szCs w:val="24"/>
        </w:rPr>
        <w:t>来源的稳定性。</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（4）采取有效措施防止发生各种事故，针对不同的事故类型制定各种事故风险防范和应急措施，增强事故防范意识，加强防治措施的运行管理，定期对设备设施进行保养检修，消除事故隐患。</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（5）落实各项污染防治措施，确保各污染物因子长期稳定达标排放，减少排放的污染物对周边环境的影响。</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根据《中华人民共和国突发事件应对法》、《突发环境事件应急预案管理暂行办法》等相关环境保护法律，项目建成后企业应按照《河南省环境风险源企业环境应急预案编制指南》（试行）的要求，制定本企业的环境应急预案。</w:t>
      </w:r>
    </w:p>
    <w:p>
      <w:pPr>
        <w:spacing w:line="480" w:lineRule="exact"/>
        <w:ind w:firstLine="480" w:firstLineChars="200"/>
        <w:rPr>
          <w:rFonts w:ascii="Times New Roman" w:hAnsi="Times New Roman" w:eastAsia="宋体" w:cs="Times New Roman"/>
          <w:sz w:val="24"/>
          <w:szCs w:val="24"/>
        </w:rPr>
      </w:pPr>
    </w:p>
    <w:p>
      <w:pPr>
        <w:spacing w:line="480" w:lineRule="exact"/>
        <w:ind w:firstLine="480" w:firstLineChars="200"/>
        <w:rPr>
          <w:rFonts w:ascii="Times New Roman" w:hAnsi="Times New Roman" w:eastAsia="宋体" w:cs="Times New Roman"/>
          <w:sz w:val="24"/>
          <w:szCs w:val="24"/>
        </w:rPr>
      </w:pPr>
    </w:p>
    <w:p>
      <w:pPr>
        <w:spacing w:line="480" w:lineRule="exact"/>
        <w:ind w:firstLine="480" w:firstLineChars="200"/>
        <w:rPr>
          <w:rFonts w:ascii="Times New Roman" w:hAnsi="Times New Roman" w:eastAsia="宋体" w:cs="Times New Roman"/>
          <w:sz w:val="24"/>
          <w:szCs w:val="24"/>
        </w:rPr>
      </w:pPr>
    </w:p>
    <w:p>
      <w:pPr>
        <w:spacing w:line="480" w:lineRule="exact"/>
        <w:ind w:firstLine="480" w:firstLineChars="200"/>
        <w:rPr>
          <w:rFonts w:ascii="Times New Roman" w:hAnsi="Times New Roman" w:eastAsia="宋体" w:cs="Times New Roman"/>
          <w:sz w:val="24"/>
          <w:szCs w:val="24"/>
        </w:rPr>
      </w:pPr>
    </w:p>
    <w:p>
      <w:pPr>
        <w:sectPr>
          <w:pgSz w:w="11906" w:h="16838"/>
          <w:pgMar w:top="1440" w:right="1800" w:bottom="1440" w:left="1800" w:header="851" w:footer="992" w:gutter="0"/>
          <w:cols w:space="425" w:num="1"/>
          <w:docGrid w:type="lines" w:linePitch="312" w:charSpace="0"/>
        </w:sectPr>
      </w:pPr>
    </w:p>
    <w:p>
      <w:pPr>
        <w:pStyle w:val="38"/>
      </w:pPr>
      <w:bookmarkStart w:id="123" w:name="_Toc8391597"/>
      <w:bookmarkStart w:id="124" w:name="_Toc519867255"/>
      <w:r>
        <w:rPr>
          <w:rFonts w:hint="eastAsia"/>
        </w:rPr>
        <w:t>现场照片</w:t>
      </w:r>
      <w:bookmarkEnd w:id="123"/>
      <w:bookmarkEnd w:id="124"/>
    </w:p>
    <w:p>
      <w:pPr>
        <w:pStyle w:val="38"/>
      </w:pPr>
      <w:bookmarkStart w:id="125" w:name="_Toc519867256"/>
      <w:bookmarkStart w:id="126" w:name="_Toc8391598"/>
      <w:r>
        <w:rPr>
          <w:rFonts w:hint="eastAsia"/>
        </w:rPr>
        <w:t>附图</w:t>
      </w:r>
      <w:bookmarkEnd w:id="125"/>
      <w:bookmarkEnd w:id="126"/>
    </w:p>
    <w:p>
      <w:pPr>
        <w:spacing w:line="400" w:lineRule="exact"/>
        <w:ind w:firstLine="482"/>
        <w:rPr>
          <w:rFonts w:ascii="宋体" w:hAnsi="宋体" w:eastAsia="宋体"/>
          <w:sz w:val="24"/>
          <w:szCs w:val="24"/>
        </w:rPr>
      </w:pPr>
      <w:r>
        <w:rPr>
          <w:rFonts w:hint="eastAsia" w:ascii="宋体" w:hAnsi="宋体" w:eastAsia="宋体"/>
          <w:sz w:val="24"/>
          <w:szCs w:val="24"/>
        </w:rPr>
        <w:t>附图</w:t>
      </w:r>
      <w:r>
        <w:rPr>
          <w:rFonts w:ascii="宋体" w:hAnsi="宋体" w:eastAsia="宋体"/>
          <w:sz w:val="24"/>
          <w:szCs w:val="24"/>
        </w:rPr>
        <w:t>一</w:t>
      </w:r>
      <w:r>
        <w:rPr>
          <w:rFonts w:hint="eastAsia" w:ascii="宋体" w:hAnsi="宋体" w:eastAsia="宋体"/>
          <w:sz w:val="24"/>
          <w:szCs w:val="24"/>
        </w:rPr>
        <w:t xml:space="preserve">  本项目</w:t>
      </w:r>
      <w:r>
        <w:rPr>
          <w:rFonts w:ascii="宋体" w:hAnsi="宋体" w:eastAsia="宋体"/>
          <w:sz w:val="24"/>
          <w:szCs w:val="24"/>
        </w:rPr>
        <w:t>所在地理位置图</w:t>
      </w:r>
      <w:r>
        <w:rPr>
          <w:rFonts w:hint="eastAsia" w:ascii="宋体" w:hAnsi="宋体" w:eastAsia="宋体"/>
          <w:sz w:val="24"/>
          <w:szCs w:val="24"/>
        </w:rPr>
        <w:t>；</w:t>
      </w:r>
    </w:p>
    <w:p>
      <w:pPr>
        <w:spacing w:line="400" w:lineRule="exact"/>
        <w:ind w:firstLine="482"/>
        <w:rPr>
          <w:rFonts w:ascii="宋体" w:hAnsi="宋体" w:eastAsia="宋体"/>
          <w:sz w:val="24"/>
          <w:szCs w:val="24"/>
        </w:rPr>
      </w:pPr>
      <w:r>
        <w:rPr>
          <w:rFonts w:hint="eastAsia" w:ascii="宋体" w:hAnsi="宋体" w:eastAsia="宋体"/>
          <w:sz w:val="24"/>
          <w:szCs w:val="24"/>
        </w:rPr>
        <w:t>附图</w:t>
      </w:r>
      <w:r>
        <w:rPr>
          <w:rFonts w:ascii="宋体" w:hAnsi="宋体" w:eastAsia="宋体"/>
          <w:sz w:val="24"/>
          <w:szCs w:val="24"/>
        </w:rPr>
        <w:t>二</w:t>
      </w:r>
      <w:r>
        <w:rPr>
          <w:rFonts w:hint="eastAsia" w:ascii="宋体" w:hAnsi="宋体" w:eastAsia="宋体"/>
          <w:sz w:val="24"/>
          <w:szCs w:val="24"/>
        </w:rPr>
        <w:t xml:space="preserve">  环境敏感点分布示意</w:t>
      </w:r>
      <w:r>
        <w:rPr>
          <w:rFonts w:ascii="宋体" w:hAnsi="宋体" w:eastAsia="宋体"/>
          <w:sz w:val="24"/>
          <w:szCs w:val="24"/>
        </w:rPr>
        <w:t>图</w:t>
      </w:r>
      <w:r>
        <w:rPr>
          <w:rFonts w:hint="eastAsia" w:ascii="宋体" w:hAnsi="宋体" w:eastAsia="宋体"/>
          <w:sz w:val="24"/>
          <w:szCs w:val="24"/>
        </w:rPr>
        <w:t>；</w:t>
      </w:r>
    </w:p>
    <w:p>
      <w:pPr>
        <w:spacing w:line="400" w:lineRule="exact"/>
        <w:ind w:firstLine="482"/>
        <w:rPr>
          <w:rFonts w:ascii="宋体" w:hAnsi="宋体" w:eastAsia="宋体"/>
          <w:sz w:val="24"/>
          <w:szCs w:val="24"/>
        </w:rPr>
      </w:pPr>
      <w:r>
        <w:rPr>
          <w:rFonts w:hint="eastAsia" w:ascii="宋体" w:hAnsi="宋体" w:eastAsia="宋体"/>
          <w:sz w:val="24"/>
          <w:szCs w:val="24"/>
        </w:rPr>
        <w:t>附图三  濮阳市城市用地总体规划图；</w:t>
      </w:r>
    </w:p>
    <w:p>
      <w:pPr>
        <w:spacing w:line="400" w:lineRule="exact"/>
        <w:ind w:firstLine="482"/>
        <w:rPr>
          <w:rFonts w:ascii="宋体" w:hAnsi="宋体" w:eastAsia="宋体"/>
          <w:sz w:val="24"/>
          <w:szCs w:val="24"/>
        </w:rPr>
      </w:pPr>
      <w:r>
        <w:rPr>
          <w:rFonts w:hint="eastAsia" w:ascii="宋体" w:hAnsi="宋体" w:eastAsia="宋体"/>
          <w:sz w:val="24"/>
          <w:szCs w:val="24"/>
        </w:rPr>
        <w:t>附图四  濮阳经济技术产业集聚区用地规划图；</w:t>
      </w:r>
    </w:p>
    <w:p>
      <w:pPr>
        <w:spacing w:line="400" w:lineRule="exact"/>
        <w:ind w:firstLine="482"/>
        <w:rPr>
          <w:rFonts w:ascii="宋体" w:hAnsi="宋体" w:eastAsia="宋体"/>
          <w:sz w:val="24"/>
          <w:szCs w:val="24"/>
        </w:rPr>
      </w:pPr>
      <w:r>
        <w:rPr>
          <w:rFonts w:hint="eastAsia" w:ascii="宋体" w:hAnsi="宋体" w:eastAsia="宋体"/>
          <w:sz w:val="24"/>
          <w:szCs w:val="24"/>
        </w:rPr>
        <w:t>附图五  濮阳经济技术产业集聚区土地利用图；</w:t>
      </w:r>
    </w:p>
    <w:p>
      <w:pPr>
        <w:spacing w:line="400" w:lineRule="exact"/>
        <w:ind w:firstLine="482"/>
        <w:rPr>
          <w:rFonts w:ascii="宋体" w:hAnsi="宋体" w:eastAsia="宋体"/>
          <w:sz w:val="24"/>
          <w:szCs w:val="24"/>
        </w:rPr>
      </w:pPr>
      <w:r>
        <w:rPr>
          <w:rFonts w:hint="eastAsia" w:ascii="宋体" w:hAnsi="宋体" w:eastAsia="宋体"/>
          <w:sz w:val="24"/>
          <w:szCs w:val="24"/>
        </w:rPr>
        <w:t>附图六  给排水规划</w:t>
      </w:r>
      <w:r>
        <w:rPr>
          <w:rFonts w:ascii="宋体" w:hAnsi="宋体" w:eastAsia="宋体"/>
          <w:sz w:val="24"/>
          <w:szCs w:val="24"/>
        </w:rPr>
        <w:t>图</w:t>
      </w:r>
      <w:r>
        <w:rPr>
          <w:rFonts w:hint="eastAsia" w:ascii="宋体" w:hAnsi="宋体" w:eastAsia="宋体"/>
          <w:sz w:val="24"/>
          <w:szCs w:val="24"/>
        </w:rPr>
        <w:t>；</w:t>
      </w:r>
      <w:r>
        <w:rPr>
          <w:rFonts w:ascii="宋体" w:hAnsi="宋体" w:eastAsia="宋体"/>
          <w:sz w:val="24"/>
          <w:szCs w:val="24"/>
        </w:rPr>
        <w:t xml:space="preserve"> </w:t>
      </w:r>
    </w:p>
    <w:p>
      <w:pPr>
        <w:spacing w:line="400" w:lineRule="exact"/>
        <w:ind w:firstLine="482"/>
        <w:rPr>
          <w:rFonts w:ascii="宋体" w:hAnsi="宋体" w:eastAsia="宋体"/>
          <w:sz w:val="24"/>
          <w:szCs w:val="24"/>
        </w:rPr>
      </w:pPr>
      <w:r>
        <w:rPr>
          <w:rFonts w:hint="eastAsia" w:ascii="宋体" w:hAnsi="宋体" w:eastAsia="宋体"/>
          <w:sz w:val="24"/>
          <w:szCs w:val="24"/>
        </w:rPr>
        <w:t>附图七</w:t>
      </w:r>
      <w:r>
        <w:rPr>
          <w:rFonts w:ascii="宋体" w:hAnsi="宋体" w:eastAsia="宋体"/>
          <w:sz w:val="24"/>
          <w:szCs w:val="24"/>
        </w:rPr>
        <w:t xml:space="preserve">  </w:t>
      </w:r>
      <w:r>
        <w:rPr>
          <w:rFonts w:hint="eastAsia" w:ascii="宋体" w:hAnsi="宋体" w:eastAsia="宋体"/>
          <w:sz w:val="24"/>
          <w:szCs w:val="24"/>
        </w:rPr>
        <w:t>变更前后总平面布置</w:t>
      </w:r>
      <w:r>
        <w:rPr>
          <w:rFonts w:ascii="宋体" w:hAnsi="宋体" w:eastAsia="宋体"/>
          <w:sz w:val="24"/>
          <w:szCs w:val="24"/>
        </w:rPr>
        <w:t>图；</w:t>
      </w:r>
    </w:p>
    <w:p>
      <w:pPr>
        <w:spacing w:line="400" w:lineRule="exact"/>
        <w:ind w:firstLine="482"/>
        <w:rPr>
          <w:rFonts w:ascii="宋体" w:hAnsi="宋体" w:eastAsia="宋体"/>
          <w:sz w:val="24"/>
          <w:szCs w:val="24"/>
        </w:rPr>
      </w:pPr>
      <w:r>
        <w:rPr>
          <w:rFonts w:hint="eastAsia" w:ascii="宋体" w:hAnsi="宋体" w:eastAsia="宋体"/>
          <w:sz w:val="24"/>
          <w:szCs w:val="24"/>
        </w:rPr>
        <w:t>附图八  濮阳市集中式地下水饮用水源地位置</w:t>
      </w:r>
      <w:r>
        <w:rPr>
          <w:rFonts w:ascii="宋体" w:hAnsi="宋体" w:eastAsia="宋体"/>
          <w:sz w:val="24"/>
          <w:szCs w:val="24"/>
        </w:rPr>
        <w:t>图；</w:t>
      </w:r>
    </w:p>
    <w:p>
      <w:pPr>
        <w:spacing w:line="400" w:lineRule="exact"/>
        <w:ind w:firstLine="482"/>
        <w:rPr>
          <w:rFonts w:ascii="宋体" w:hAnsi="宋体" w:eastAsia="宋体"/>
          <w:sz w:val="24"/>
          <w:szCs w:val="24"/>
        </w:rPr>
      </w:pPr>
      <w:r>
        <w:rPr>
          <w:rFonts w:hint="eastAsia" w:ascii="宋体" w:hAnsi="宋体" w:eastAsia="宋体"/>
          <w:sz w:val="24"/>
          <w:szCs w:val="24"/>
        </w:rPr>
        <w:t>附图九  变更前后项目工艺流程图</w:t>
      </w:r>
    </w:p>
    <w:p>
      <w:pPr>
        <w:pStyle w:val="38"/>
      </w:pPr>
      <w:bookmarkStart w:id="127" w:name="_Toc519867257"/>
      <w:bookmarkStart w:id="128" w:name="_Toc8391599"/>
      <w:r>
        <w:rPr>
          <w:rFonts w:hint="eastAsia"/>
        </w:rPr>
        <w:t>附件</w:t>
      </w:r>
      <w:bookmarkEnd w:id="127"/>
      <w:bookmarkEnd w:id="128"/>
    </w:p>
    <w:p>
      <w:pPr>
        <w:spacing w:line="400" w:lineRule="exact"/>
        <w:ind w:firstLine="482"/>
        <w:rPr>
          <w:rFonts w:ascii="Times New Roman" w:hAnsi="Times New Roman" w:eastAsia="宋体" w:cs="Times New Roman"/>
          <w:sz w:val="24"/>
          <w:szCs w:val="24"/>
        </w:rPr>
      </w:pPr>
      <w:r>
        <w:rPr>
          <w:rFonts w:ascii="Times New Roman" w:hAnsi="Times New Roman" w:eastAsia="宋体" w:cs="Times New Roman"/>
          <w:sz w:val="24"/>
          <w:szCs w:val="24"/>
        </w:rPr>
        <w:t>附件1  环评委托书；</w:t>
      </w:r>
    </w:p>
    <w:p>
      <w:pPr>
        <w:spacing w:line="400" w:lineRule="exact"/>
        <w:ind w:firstLine="482"/>
        <w:rPr>
          <w:rFonts w:ascii="Times New Roman" w:hAnsi="Times New Roman" w:eastAsia="宋体" w:cs="Times New Roman"/>
          <w:sz w:val="24"/>
          <w:szCs w:val="24"/>
        </w:rPr>
      </w:pPr>
      <w:r>
        <w:rPr>
          <w:rFonts w:ascii="Times New Roman" w:hAnsi="Times New Roman" w:eastAsia="宋体" w:cs="Times New Roman"/>
          <w:sz w:val="24"/>
          <w:szCs w:val="24"/>
        </w:rPr>
        <w:t>附件2  项目备案；</w:t>
      </w:r>
    </w:p>
    <w:p>
      <w:pPr>
        <w:spacing w:line="400" w:lineRule="exact"/>
        <w:ind w:firstLine="482"/>
        <w:rPr>
          <w:rFonts w:ascii="Times New Roman" w:hAnsi="Times New Roman" w:eastAsia="宋体" w:cs="Times New Roman"/>
          <w:sz w:val="24"/>
          <w:szCs w:val="24"/>
        </w:rPr>
      </w:pPr>
      <w:r>
        <w:rPr>
          <w:rFonts w:ascii="Times New Roman" w:hAnsi="Times New Roman" w:eastAsia="宋体" w:cs="Times New Roman"/>
          <w:sz w:val="24"/>
          <w:szCs w:val="24"/>
        </w:rPr>
        <w:t>附件3  原环评批复；</w:t>
      </w:r>
    </w:p>
    <w:p>
      <w:pPr>
        <w:spacing w:line="400" w:lineRule="exact"/>
        <w:ind w:firstLine="482"/>
        <w:rPr>
          <w:rFonts w:ascii="Times New Roman" w:hAnsi="Times New Roman" w:eastAsia="宋体" w:cs="Times New Roman"/>
          <w:sz w:val="24"/>
          <w:szCs w:val="24"/>
        </w:rPr>
      </w:pPr>
      <w:r>
        <w:rPr>
          <w:rFonts w:ascii="Times New Roman" w:hAnsi="Times New Roman" w:eastAsia="宋体" w:cs="Times New Roman"/>
          <w:sz w:val="24"/>
          <w:szCs w:val="24"/>
        </w:rPr>
        <w:t>附件4  土地证明；</w:t>
      </w:r>
    </w:p>
    <w:p>
      <w:pPr>
        <w:spacing w:line="400" w:lineRule="exact"/>
        <w:ind w:firstLine="482"/>
        <w:rPr>
          <w:rFonts w:ascii="Times New Roman" w:hAnsi="Times New Roman" w:eastAsia="宋体" w:cs="Times New Roman"/>
          <w:sz w:val="24"/>
          <w:szCs w:val="24"/>
        </w:rPr>
      </w:pPr>
      <w:r>
        <w:rPr>
          <w:rFonts w:ascii="Times New Roman" w:hAnsi="Times New Roman" w:eastAsia="宋体" w:cs="Times New Roman"/>
          <w:sz w:val="24"/>
          <w:szCs w:val="24"/>
        </w:rPr>
        <w:t>附件5  规划证明</w:t>
      </w:r>
    </w:p>
    <w:p>
      <w:pPr>
        <w:spacing w:line="400" w:lineRule="exact"/>
        <w:ind w:firstLine="482"/>
        <w:rPr>
          <w:rFonts w:ascii="Times New Roman" w:hAnsi="Times New Roman" w:eastAsia="宋体" w:cs="Times New Roman"/>
          <w:sz w:val="24"/>
          <w:szCs w:val="24"/>
        </w:rPr>
      </w:pPr>
      <w:r>
        <w:rPr>
          <w:rFonts w:ascii="Times New Roman" w:hAnsi="Times New Roman" w:eastAsia="宋体" w:cs="Times New Roman"/>
          <w:sz w:val="24"/>
          <w:szCs w:val="24"/>
        </w:rPr>
        <w:t>附件6  经济技术产业集聚区调整规划环评审查意见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AMGD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SimSun-ExtB">
    <w:panose1 w:val="02010609060101010101"/>
    <w:charset w:val="86"/>
    <w:family w:val="modern"/>
    <w:pitch w:val="default"/>
    <w:sig w:usb0="00000001" w:usb1="02000000" w:usb2="00000000" w:usb3="00000000" w:csb0="00040001" w:csb1="00000000"/>
  </w:font>
  <w:font w:name="AMGDT">
    <w:panose1 w:val="02000400000000000000"/>
    <w:charset w:val="00"/>
    <w:family w:val="auto"/>
    <w:pitch w:val="default"/>
    <w:sig w:usb0="80000003" w:usb1="10000000" w:usb2="00000000" w:usb3="00000000" w:csb0="00000001" w:csb1="00000000"/>
  </w:font>
  <w:font w:name="等线 Light">
    <w:altName w:val="AMGD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4346427"/>
      <w:docPartObj>
        <w:docPartGallery w:val="autotext"/>
      </w:docPartObj>
    </w:sdtPr>
    <w:sdtEndPr>
      <w:rPr>
        <w:rFonts w:ascii="Times New Roman" w:hAnsi="Times New Roman" w:cs="Times New Roman"/>
        <w:sz w:val="21"/>
        <w:szCs w:val="21"/>
      </w:rPr>
    </w:sdtEndPr>
    <w:sdtContent>
      <w:p>
        <w:pPr>
          <w:pStyle w:val="11"/>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w:t>
        </w:r>
        <w:r>
          <w:rPr>
            <w:rFonts w:ascii="Times New Roman" w:hAnsi="Times New Roman" w:cs="Times New Roman"/>
            <w:sz w:val="21"/>
            <w:szCs w:val="21"/>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7939638"/>
      <w:docPartObj>
        <w:docPartGallery w:val="autotext"/>
      </w:docPartObj>
    </w:sdtPr>
    <w:sdtEndPr>
      <w:rPr>
        <w:rFonts w:ascii="Times New Roman" w:hAnsi="Times New Roman" w:eastAsia="宋体" w:cs="Times New Roman"/>
        <w:sz w:val="21"/>
        <w:szCs w:val="21"/>
      </w:rPr>
    </w:sdtEndPr>
    <w:sdtContent>
      <w:p>
        <w:pPr>
          <w:pStyle w:val="11"/>
          <w:jc w:val="center"/>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PAGE   \* MERGEFORMAT</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lang w:val="zh-CN"/>
          </w:rPr>
          <w:t>103</w:t>
        </w:r>
        <w:r>
          <w:rPr>
            <w:rFonts w:ascii="Times New Roman" w:hAnsi="Times New Roman" w:eastAsia="宋体" w:cs="Times New Roman"/>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22"/>
    <w:rsid w:val="00006954"/>
    <w:rsid w:val="00007F1C"/>
    <w:rsid w:val="000109E6"/>
    <w:rsid w:val="00012656"/>
    <w:rsid w:val="000128B1"/>
    <w:rsid w:val="000157A7"/>
    <w:rsid w:val="00015B7F"/>
    <w:rsid w:val="00016E39"/>
    <w:rsid w:val="000200A8"/>
    <w:rsid w:val="00020885"/>
    <w:rsid w:val="000269F4"/>
    <w:rsid w:val="00040E59"/>
    <w:rsid w:val="0004474C"/>
    <w:rsid w:val="00045B6E"/>
    <w:rsid w:val="000502B8"/>
    <w:rsid w:val="00053E8D"/>
    <w:rsid w:val="00054408"/>
    <w:rsid w:val="00056689"/>
    <w:rsid w:val="0006324F"/>
    <w:rsid w:val="00065881"/>
    <w:rsid w:val="000672AC"/>
    <w:rsid w:val="000672FF"/>
    <w:rsid w:val="000724FB"/>
    <w:rsid w:val="0007513B"/>
    <w:rsid w:val="00076240"/>
    <w:rsid w:val="00076258"/>
    <w:rsid w:val="00076DDA"/>
    <w:rsid w:val="00077304"/>
    <w:rsid w:val="000824F7"/>
    <w:rsid w:val="00082DEF"/>
    <w:rsid w:val="0008463D"/>
    <w:rsid w:val="00085983"/>
    <w:rsid w:val="000929E6"/>
    <w:rsid w:val="0009381C"/>
    <w:rsid w:val="00093FB5"/>
    <w:rsid w:val="00097C58"/>
    <w:rsid w:val="000A318E"/>
    <w:rsid w:val="000A383C"/>
    <w:rsid w:val="000A6DC4"/>
    <w:rsid w:val="000B0957"/>
    <w:rsid w:val="000B23F4"/>
    <w:rsid w:val="000B2B5D"/>
    <w:rsid w:val="000B3A15"/>
    <w:rsid w:val="000B3CB8"/>
    <w:rsid w:val="000B4D1D"/>
    <w:rsid w:val="000B5A27"/>
    <w:rsid w:val="000B60BB"/>
    <w:rsid w:val="000B6AAD"/>
    <w:rsid w:val="000C5373"/>
    <w:rsid w:val="000E31C3"/>
    <w:rsid w:val="000E5948"/>
    <w:rsid w:val="000E7E82"/>
    <w:rsid w:val="000F29FF"/>
    <w:rsid w:val="000F4A79"/>
    <w:rsid w:val="000F6524"/>
    <w:rsid w:val="00103061"/>
    <w:rsid w:val="001056A1"/>
    <w:rsid w:val="00111AD0"/>
    <w:rsid w:val="00111BFC"/>
    <w:rsid w:val="001121DC"/>
    <w:rsid w:val="00114356"/>
    <w:rsid w:val="00114C5B"/>
    <w:rsid w:val="00116117"/>
    <w:rsid w:val="001208F6"/>
    <w:rsid w:val="00122FA0"/>
    <w:rsid w:val="00124EDF"/>
    <w:rsid w:val="00125B58"/>
    <w:rsid w:val="001300BC"/>
    <w:rsid w:val="001315F6"/>
    <w:rsid w:val="001361EA"/>
    <w:rsid w:val="00137590"/>
    <w:rsid w:val="00141115"/>
    <w:rsid w:val="00141327"/>
    <w:rsid w:val="0014306D"/>
    <w:rsid w:val="00144A86"/>
    <w:rsid w:val="0014521D"/>
    <w:rsid w:val="00145FB9"/>
    <w:rsid w:val="00147416"/>
    <w:rsid w:val="001502AB"/>
    <w:rsid w:val="00150722"/>
    <w:rsid w:val="00150A49"/>
    <w:rsid w:val="001517A2"/>
    <w:rsid w:val="0015239A"/>
    <w:rsid w:val="0016273C"/>
    <w:rsid w:val="0016338D"/>
    <w:rsid w:val="00165FEE"/>
    <w:rsid w:val="00166CB6"/>
    <w:rsid w:val="001674AA"/>
    <w:rsid w:val="0017204C"/>
    <w:rsid w:val="00175248"/>
    <w:rsid w:val="001756C6"/>
    <w:rsid w:val="00180B82"/>
    <w:rsid w:val="00181226"/>
    <w:rsid w:val="001823B6"/>
    <w:rsid w:val="00182587"/>
    <w:rsid w:val="001825A8"/>
    <w:rsid w:val="00183B13"/>
    <w:rsid w:val="00186C0B"/>
    <w:rsid w:val="00195BCE"/>
    <w:rsid w:val="001B1AED"/>
    <w:rsid w:val="001B34B2"/>
    <w:rsid w:val="001B4AC4"/>
    <w:rsid w:val="001B6521"/>
    <w:rsid w:val="001C1061"/>
    <w:rsid w:val="001C1796"/>
    <w:rsid w:val="001C25A2"/>
    <w:rsid w:val="001C2D30"/>
    <w:rsid w:val="001C5134"/>
    <w:rsid w:val="001C5778"/>
    <w:rsid w:val="001D0DD6"/>
    <w:rsid w:val="001D2951"/>
    <w:rsid w:val="001D3D2D"/>
    <w:rsid w:val="001D3EC6"/>
    <w:rsid w:val="001D619E"/>
    <w:rsid w:val="001E10A6"/>
    <w:rsid w:val="001E11CE"/>
    <w:rsid w:val="001E15CB"/>
    <w:rsid w:val="001E67A7"/>
    <w:rsid w:val="001F0C32"/>
    <w:rsid w:val="001F1020"/>
    <w:rsid w:val="001F4309"/>
    <w:rsid w:val="001F46D2"/>
    <w:rsid w:val="001F5F26"/>
    <w:rsid w:val="00201F78"/>
    <w:rsid w:val="00202097"/>
    <w:rsid w:val="002025FA"/>
    <w:rsid w:val="00205AD5"/>
    <w:rsid w:val="00205BBF"/>
    <w:rsid w:val="00206D13"/>
    <w:rsid w:val="00207652"/>
    <w:rsid w:val="00212BDF"/>
    <w:rsid w:val="00214A3D"/>
    <w:rsid w:val="002177D0"/>
    <w:rsid w:val="00217F3C"/>
    <w:rsid w:val="00220F85"/>
    <w:rsid w:val="00221EEF"/>
    <w:rsid w:val="00224266"/>
    <w:rsid w:val="00224930"/>
    <w:rsid w:val="0022569C"/>
    <w:rsid w:val="00225E08"/>
    <w:rsid w:val="00227E50"/>
    <w:rsid w:val="0023007B"/>
    <w:rsid w:val="00231F6A"/>
    <w:rsid w:val="00231FDA"/>
    <w:rsid w:val="002334AD"/>
    <w:rsid w:val="0023397B"/>
    <w:rsid w:val="002402C4"/>
    <w:rsid w:val="00247942"/>
    <w:rsid w:val="00251378"/>
    <w:rsid w:val="00252A22"/>
    <w:rsid w:val="00253CD6"/>
    <w:rsid w:val="00254656"/>
    <w:rsid w:val="00254952"/>
    <w:rsid w:val="00260BDF"/>
    <w:rsid w:val="00261D71"/>
    <w:rsid w:val="00264170"/>
    <w:rsid w:val="002645C0"/>
    <w:rsid w:val="0026463A"/>
    <w:rsid w:val="00264A7F"/>
    <w:rsid w:val="00266B40"/>
    <w:rsid w:val="00267B9C"/>
    <w:rsid w:val="00275E36"/>
    <w:rsid w:val="00276221"/>
    <w:rsid w:val="0028134F"/>
    <w:rsid w:val="0028227A"/>
    <w:rsid w:val="002839B1"/>
    <w:rsid w:val="00284A10"/>
    <w:rsid w:val="00284D85"/>
    <w:rsid w:val="00286E01"/>
    <w:rsid w:val="002910B6"/>
    <w:rsid w:val="002921B4"/>
    <w:rsid w:val="00293828"/>
    <w:rsid w:val="0029438D"/>
    <w:rsid w:val="00297AE7"/>
    <w:rsid w:val="002A27D2"/>
    <w:rsid w:val="002A6EA5"/>
    <w:rsid w:val="002A7751"/>
    <w:rsid w:val="002B1FB6"/>
    <w:rsid w:val="002B6FE9"/>
    <w:rsid w:val="002B772B"/>
    <w:rsid w:val="002C142F"/>
    <w:rsid w:val="002C2271"/>
    <w:rsid w:val="002C3687"/>
    <w:rsid w:val="002D111F"/>
    <w:rsid w:val="002D29F8"/>
    <w:rsid w:val="002D34BB"/>
    <w:rsid w:val="002D3CF0"/>
    <w:rsid w:val="002D584E"/>
    <w:rsid w:val="002D6391"/>
    <w:rsid w:val="002E2A32"/>
    <w:rsid w:val="002E3B0F"/>
    <w:rsid w:val="002E3F90"/>
    <w:rsid w:val="002E44AC"/>
    <w:rsid w:val="002E787A"/>
    <w:rsid w:val="002F21FA"/>
    <w:rsid w:val="002F332D"/>
    <w:rsid w:val="00301E31"/>
    <w:rsid w:val="00301EB0"/>
    <w:rsid w:val="00303066"/>
    <w:rsid w:val="003065FE"/>
    <w:rsid w:val="00307EC5"/>
    <w:rsid w:val="0031000E"/>
    <w:rsid w:val="00310406"/>
    <w:rsid w:val="00311601"/>
    <w:rsid w:val="00313174"/>
    <w:rsid w:val="00313352"/>
    <w:rsid w:val="003164EF"/>
    <w:rsid w:val="00316B31"/>
    <w:rsid w:val="003170AC"/>
    <w:rsid w:val="00325361"/>
    <w:rsid w:val="00330FA9"/>
    <w:rsid w:val="00331FD3"/>
    <w:rsid w:val="00333AF0"/>
    <w:rsid w:val="00334942"/>
    <w:rsid w:val="0033583F"/>
    <w:rsid w:val="00335E69"/>
    <w:rsid w:val="003373FA"/>
    <w:rsid w:val="00340E53"/>
    <w:rsid w:val="00344878"/>
    <w:rsid w:val="003449A5"/>
    <w:rsid w:val="00346B72"/>
    <w:rsid w:val="003472B0"/>
    <w:rsid w:val="00350E11"/>
    <w:rsid w:val="003511BD"/>
    <w:rsid w:val="00357045"/>
    <w:rsid w:val="003604BB"/>
    <w:rsid w:val="003617DF"/>
    <w:rsid w:val="00361E3A"/>
    <w:rsid w:val="00362282"/>
    <w:rsid w:val="00363493"/>
    <w:rsid w:val="00363F1A"/>
    <w:rsid w:val="00370F20"/>
    <w:rsid w:val="00376BBE"/>
    <w:rsid w:val="003831BC"/>
    <w:rsid w:val="0038423F"/>
    <w:rsid w:val="00384EF7"/>
    <w:rsid w:val="00385E60"/>
    <w:rsid w:val="0039187B"/>
    <w:rsid w:val="00392A03"/>
    <w:rsid w:val="003938E8"/>
    <w:rsid w:val="00394F08"/>
    <w:rsid w:val="00395255"/>
    <w:rsid w:val="003A29EE"/>
    <w:rsid w:val="003A539C"/>
    <w:rsid w:val="003A6974"/>
    <w:rsid w:val="003B0193"/>
    <w:rsid w:val="003B299C"/>
    <w:rsid w:val="003B43F2"/>
    <w:rsid w:val="003B7A74"/>
    <w:rsid w:val="003B7AC2"/>
    <w:rsid w:val="003C02FD"/>
    <w:rsid w:val="003C33D3"/>
    <w:rsid w:val="003C5022"/>
    <w:rsid w:val="003D229B"/>
    <w:rsid w:val="003D3162"/>
    <w:rsid w:val="003D3888"/>
    <w:rsid w:val="003D432D"/>
    <w:rsid w:val="003E0354"/>
    <w:rsid w:val="003E30D9"/>
    <w:rsid w:val="003E5FC5"/>
    <w:rsid w:val="003F193E"/>
    <w:rsid w:val="003F259D"/>
    <w:rsid w:val="003F3647"/>
    <w:rsid w:val="003F3782"/>
    <w:rsid w:val="003F648A"/>
    <w:rsid w:val="00400261"/>
    <w:rsid w:val="004030A9"/>
    <w:rsid w:val="00403967"/>
    <w:rsid w:val="00404D34"/>
    <w:rsid w:val="004050D6"/>
    <w:rsid w:val="00406B94"/>
    <w:rsid w:val="004070F3"/>
    <w:rsid w:val="0041105C"/>
    <w:rsid w:val="00411D4F"/>
    <w:rsid w:val="00412ED0"/>
    <w:rsid w:val="004136F7"/>
    <w:rsid w:val="00417311"/>
    <w:rsid w:val="00420CD8"/>
    <w:rsid w:val="004214C2"/>
    <w:rsid w:val="0042267A"/>
    <w:rsid w:val="00422E91"/>
    <w:rsid w:val="0042350E"/>
    <w:rsid w:val="0042375E"/>
    <w:rsid w:val="00425CEF"/>
    <w:rsid w:val="004306EC"/>
    <w:rsid w:val="00430817"/>
    <w:rsid w:val="00432049"/>
    <w:rsid w:val="004323CE"/>
    <w:rsid w:val="004327ED"/>
    <w:rsid w:val="0043477B"/>
    <w:rsid w:val="004354DA"/>
    <w:rsid w:val="004371F8"/>
    <w:rsid w:val="00437BE0"/>
    <w:rsid w:val="00445512"/>
    <w:rsid w:val="00451526"/>
    <w:rsid w:val="004557DB"/>
    <w:rsid w:val="00456155"/>
    <w:rsid w:val="00456D2D"/>
    <w:rsid w:val="00456E69"/>
    <w:rsid w:val="00462BDD"/>
    <w:rsid w:val="00463696"/>
    <w:rsid w:val="004671ED"/>
    <w:rsid w:val="0047155E"/>
    <w:rsid w:val="00471D36"/>
    <w:rsid w:val="004733AA"/>
    <w:rsid w:val="004765F4"/>
    <w:rsid w:val="00484811"/>
    <w:rsid w:val="004854AE"/>
    <w:rsid w:val="00487F4D"/>
    <w:rsid w:val="00490711"/>
    <w:rsid w:val="00491365"/>
    <w:rsid w:val="00491765"/>
    <w:rsid w:val="00492631"/>
    <w:rsid w:val="0049536A"/>
    <w:rsid w:val="00496E2A"/>
    <w:rsid w:val="00497DD2"/>
    <w:rsid w:val="004A49F8"/>
    <w:rsid w:val="004A5B4E"/>
    <w:rsid w:val="004A6E9B"/>
    <w:rsid w:val="004B185E"/>
    <w:rsid w:val="004B37E2"/>
    <w:rsid w:val="004B5804"/>
    <w:rsid w:val="004B62C6"/>
    <w:rsid w:val="004C0532"/>
    <w:rsid w:val="004C2246"/>
    <w:rsid w:val="004C51BD"/>
    <w:rsid w:val="004C7B90"/>
    <w:rsid w:val="004D1649"/>
    <w:rsid w:val="004D4E2F"/>
    <w:rsid w:val="004E0C3F"/>
    <w:rsid w:val="004E3C87"/>
    <w:rsid w:val="004F00AE"/>
    <w:rsid w:val="004F1B51"/>
    <w:rsid w:val="004F2609"/>
    <w:rsid w:val="004F27F7"/>
    <w:rsid w:val="004F343B"/>
    <w:rsid w:val="004F56C3"/>
    <w:rsid w:val="00500C90"/>
    <w:rsid w:val="005025C6"/>
    <w:rsid w:val="00507190"/>
    <w:rsid w:val="00507C32"/>
    <w:rsid w:val="00511455"/>
    <w:rsid w:val="00511883"/>
    <w:rsid w:val="0051526F"/>
    <w:rsid w:val="00515AB1"/>
    <w:rsid w:val="00515BE1"/>
    <w:rsid w:val="00516B56"/>
    <w:rsid w:val="00524A26"/>
    <w:rsid w:val="00526AB9"/>
    <w:rsid w:val="00527EF4"/>
    <w:rsid w:val="00536BD2"/>
    <w:rsid w:val="00536D25"/>
    <w:rsid w:val="0054072E"/>
    <w:rsid w:val="005410AE"/>
    <w:rsid w:val="00541CD3"/>
    <w:rsid w:val="00541F0C"/>
    <w:rsid w:val="00542FB1"/>
    <w:rsid w:val="005430E7"/>
    <w:rsid w:val="00543447"/>
    <w:rsid w:val="00545AB8"/>
    <w:rsid w:val="005476C7"/>
    <w:rsid w:val="00547BB8"/>
    <w:rsid w:val="00547BE3"/>
    <w:rsid w:val="00556544"/>
    <w:rsid w:val="005601B7"/>
    <w:rsid w:val="0056078A"/>
    <w:rsid w:val="00560A0C"/>
    <w:rsid w:val="005628D2"/>
    <w:rsid w:val="005629EB"/>
    <w:rsid w:val="005659FB"/>
    <w:rsid w:val="00565BD9"/>
    <w:rsid w:val="00567842"/>
    <w:rsid w:val="00570920"/>
    <w:rsid w:val="00571D79"/>
    <w:rsid w:val="0057245B"/>
    <w:rsid w:val="00572CEF"/>
    <w:rsid w:val="00576928"/>
    <w:rsid w:val="005774C1"/>
    <w:rsid w:val="0058342B"/>
    <w:rsid w:val="005845EF"/>
    <w:rsid w:val="00584656"/>
    <w:rsid w:val="00586A0D"/>
    <w:rsid w:val="00590FE0"/>
    <w:rsid w:val="0059245A"/>
    <w:rsid w:val="005925A5"/>
    <w:rsid w:val="00592A2E"/>
    <w:rsid w:val="00593815"/>
    <w:rsid w:val="00594059"/>
    <w:rsid w:val="005A43B3"/>
    <w:rsid w:val="005A549E"/>
    <w:rsid w:val="005A56E1"/>
    <w:rsid w:val="005A5B3E"/>
    <w:rsid w:val="005A6680"/>
    <w:rsid w:val="005A7C0C"/>
    <w:rsid w:val="005B0F15"/>
    <w:rsid w:val="005B3A37"/>
    <w:rsid w:val="005B4585"/>
    <w:rsid w:val="005B62D9"/>
    <w:rsid w:val="005C02B4"/>
    <w:rsid w:val="005C180A"/>
    <w:rsid w:val="005C2F1A"/>
    <w:rsid w:val="005C3B60"/>
    <w:rsid w:val="005C3D43"/>
    <w:rsid w:val="005C6F8D"/>
    <w:rsid w:val="005D0A69"/>
    <w:rsid w:val="005D4EF1"/>
    <w:rsid w:val="005E0939"/>
    <w:rsid w:val="005E31AD"/>
    <w:rsid w:val="005E4293"/>
    <w:rsid w:val="005E58A7"/>
    <w:rsid w:val="005E791C"/>
    <w:rsid w:val="005F48A5"/>
    <w:rsid w:val="006012CB"/>
    <w:rsid w:val="00602374"/>
    <w:rsid w:val="006028DF"/>
    <w:rsid w:val="0060419A"/>
    <w:rsid w:val="0060517E"/>
    <w:rsid w:val="0060619C"/>
    <w:rsid w:val="0060716A"/>
    <w:rsid w:val="0060778A"/>
    <w:rsid w:val="00617258"/>
    <w:rsid w:val="00620304"/>
    <w:rsid w:val="006207D5"/>
    <w:rsid w:val="0062109A"/>
    <w:rsid w:val="00622713"/>
    <w:rsid w:val="00622874"/>
    <w:rsid w:val="00622AEA"/>
    <w:rsid w:val="0062318F"/>
    <w:rsid w:val="00624420"/>
    <w:rsid w:val="006252DD"/>
    <w:rsid w:val="00626252"/>
    <w:rsid w:val="0063070C"/>
    <w:rsid w:val="006311AD"/>
    <w:rsid w:val="00634328"/>
    <w:rsid w:val="00634B1E"/>
    <w:rsid w:val="00634BF4"/>
    <w:rsid w:val="00635DC5"/>
    <w:rsid w:val="00637910"/>
    <w:rsid w:val="006408FE"/>
    <w:rsid w:val="00643307"/>
    <w:rsid w:val="00643815"/>
    <w:rsid w:val="0064535A"/>
    <w:rsid w:val="00661CB2"/>
    <w:rsid w:val="00664170"/>
    <w:rsid w:val="0066704E"/>
    <w:rsid w:val="006727C2"/>
    <w:rsid w:val="00676E2E"/>
    <w:rsid w:val="00677718"/>
    <w:rsid w:val="00682A98"/>
    <w:rsid w:val="00691024"/>
    <w:rsid w:val="00694801"/>
    <w:rsid w:val="00694FD9"/>
    <w:rsid w:val="00695FCD"/>
    <w:rsid w:val="00696BC8"/>
    <w:rsid w:val="00696C8E"/>
    <w:rsid w:val="00696D03"/>
    <w:rsid w:val="006A0C36"/>
    <w:rsid w:val="006A19A9"/>
    <w:rsid w:val="006A7365"/>
    <w:rsid w:val="006B2251"/>
    <w:rsid w:val="006B44D5"/>
    <w:rsid w:val="006B5188"/>
    <w:rsid w:val="006B7B86"/>
    <w:rsid w:val="006C0863"/>
    <w:rsid w:val="006C19B8"/>
    <w:rsid w:val="006C30D2"/>
    <w:rsid w:val="006C5B75"/>
    <w:rsid w:val="006C72B8"/>
    <w:rsid w:val="006C7570"/>
    <w:rsid w:val="006C7A2D"/>
    <w:rsid w:val="006D11FF"/>
    <w:rsid w:val="006D3408"/>
    <w:rsid w:val="006D392F"/>
    <w:rsid w:val="006D4367"/>
    <w:rsid w:val="006D461D"/>
    <w:rsid w:val="006D4D47"/>
    <w:rsid w:val="006D6DDA"/>
    <w:rsid w:val="006E1E71"/>
    <w:rsid w:val="006E27DC"/>
    <w:rsid w:val="006E2B0F"/>
    <w:rsid w:val="006F347D"/>
    <w:rsid w:val="006F35D7"/>
    <w:rsid w:val="006F35F9"/>
    <w:rsid w:val="006F3680"/>
    <w:rsid w:val="006F5B08"/>
    <w:rsid w:val="00701FEF"/>
    <w:rsid w:val="0070526A"/>
    <w:rsid w:val="00705A7A"/>
    <w:rsid w:val="00713CD6"/>
    <w:rsid w:val="00715C89"/>
    <w:rsid w:val="007168D1"/>
    <w:rsid w:val="00717AFF"/>
    <w:rsid w:val="00721778"/>
    <w:rsid w:val="0072394E"/>
    <w:rsid w:val="00730278"/>
    <w:rsid w:val="007302EF"/>
    <w:rsid w:val="00730B00"/>
    <w:rsid w:val="00731F57"/>
    <w:rsid w:val="00734E8F"/>
    <w:rsid w:val="00735173"/>
    <w:rsid w:val="00735CF7"/>
    <w:rsid w:val="00736CF4"/>
    <w:rsid w:val="00740335"/>
    <w:rsid w:val="007505FD"/>
    <w:rsid w:val="00750AB8"/>
    <w:rsid w:val="00750BD1"/>
    <w:rsid w:val="00752958"/>
    <w:rsid w:val="00752DDB"/>
    <w:rsid w:val="007558FA"/>
    <w:rsid w:val="00755BDA"/>
    <w:rsid w:val="00757898"/>
    <w:rsid w:val="00761717"/>
    <w:rsid w:val="007624EE"/>
    <w:rsid w:val="0077011E"/>
    <w:rsid w:val="00780052"/>
    <w:rsid w:val="00780733"/>
    <w:rsid w:val="00780D47"/>
    <w:rsid w:val="00783D64"/>
    <w:rsid w:val="00784206"/>
    <w:rsid w:val="00785025"/>
    <w:rsid w:val="0078643A"/>
    <w:rsid w:val="007967EE"/>
    <w:rsid w:val="007968C9"/>
    <w:rsid w:val="007A1DDD"/>
    <w:rsid w:val="007A4B0D"/>
    <w:rsid w:val="007A5384"/>
    <w:rsid w:val="007A6F8C"/>
    <w:rsid w:val="007B071C"/>
    <w:rsid w:val="007B0916"/>
    <w:rsid w:val="007B27A7"/>
    <w:rsid w:val="007B3770"/>
    <w:rsid w:val="007B490B"/>
    <w:rsid w:val="007B5C92"/>
    <w:rsid w:val="007B5F42"/>
    <w:rsid w:val="007B78C5"/>
    <w:rsid w:val="007C0310"/>
    <w:rsid w:val="007C058A"/>
    <w:rsid w:val="007C1325"/>
    <w:rsid w:val="007C1945"/>
    <w:rsid w:val="007C74AF"/>
    <w:rsid w:val="007C7B07"/>
    <w:rsid w:val="007D0B76"/>
    <w:rsid w:val="007D5C06"/>
    <w:rsid w:val="007D5CC9"/>
    <w:rsid w:val="007E2B32"/>
    <w:rsid w:val="007E4E0C"/>
    <w:rsid w:val="007F3A42"/>
    <w:rsid w:val="007F5062"/>
    <w:rsid w:val="007F54B2"/>
    <w:rsid w:val="007F5D1F"/>
    <w:rsid w:val="007F6E28"/>
    <w:rsid w:val="007F7954"/>
    <w:rsid w:val="00802931"/>
    <w:rsid w:val="00803C7A"/>
    <w:rsid w:val="00804BAB"/>
    <w:rsid w:val="00805074"/>
    <w:rsid w:val="00806029"/>
    <w:rsid w:val="00807986"/>
    <w:rsid w:val="00807F65"/>
    <w:rsid w:val="008140BF"/>
    <w:rsid w:val="00815997"/>
    <w:rsid w:val="00816E8F"/>
    <w:rsid w:val="00821DC6"/>
    <w:rsid w:val="00826ED3"/>
    <w:rsid w:val="008308F2"/>
    <w:rsid w:val="008311A7"/>
    <w:rsid w:val="0083181B"/>
    <w:rsid w:val="008318B7"/>
    <w:rsid w:val="00832306"/>
    <w:rsid w:val="00832397"/>
    <w:rsid w:val="008344EB"/>
    <w:rsid w:val="008349D7"/>
    <w:rsid w:val="008354F6"/>
    <w:rsid w:val="00836C7F"/>
    <w:rsid w:val="0084181A"/>
    <w:rsid w:val="0084598A"/>
    <w:rsid w:val="00847B67"/>
    <w:rsid w:val="00850733"/>
    <w:rsid w:val="008514BA"/>
    <w:rsid w:val="00852C2F"/>
    <w:rsid w:val="00862DE6"/>
    <w:rsid w:val="00863CD8"/>
    <w:rsid w:val="00866AC3"/>
    <w:rsid w:val="008701D5"/>
    <w:rsid w:val="00874EAE"/>
    <w:rsid w:val="00876D56"/>
    <w:rsid w:val="00880065"/>
    <w:rsid w:val="0088049B"/>
    <w:rsid w:val="0088332A"/>
    <w:rsid w:val="00884332"/>
    <w:rsid w:val="008846E8"/>
    <w:rsid w:val="00884DB0"/>
    <w:rsid w:val="008946B0"/>
    <w:rsid w:val="008949D3"/>
    <w:rsid w:val="00894E3E"/>
    <w:rsid w:val="008A01AD"/>
    <w:rsid w:val="008A0A18"/>
    <w:rsid w:val="008A44EB"/>
    <w:rsid w:val="008A52A4"/>
    <w:rsid w:val="008A5A89"/>
    <w:rsid w:val="008A6C21"/>
    <w:rsid w:val="008B1AF2"/>
    <w:rsid w:val="008B2DE5"/>
    <w:rsid w:val="008B5631"/>
    <w:rsid w:val="008B7D22"/>
    <w:rsid w:val="008C3334"/>
    <w:rsid w:val="008C45FE"/>
    <w:rsid w:val="008C59A2"/>
    <w:rsid w:val="008C6C86"/>
    <w:rsid w:val="008D1A1E"/>
    <w:rsid w:val="008D322D"/>
    <w:rsid w:val="008D3F35"/>
    <w:rsid w:val="008D4D3A"/>
    <w:rsid w:val="008D6779"/>
    <w:rsid w:val="008E0228"/>
    <w:rsid w:val="008E4CDA"/>
    <w:rsid w:val="008E6794"/>
    <w:rsid w:val="008E7EDE"/>
    <w:rsid w:val="008F3790"/>
    <w:rsid w:val="00901C0B"/>
    <w:rsid w:val="0090240F"/>
    <w:rsid w:val="00903D33"/>
    <w:rsid w:val="00906033"/>
    <w:rsid w:val="0090795A"/>
    <w:rsid w:val="00910101"/>
    <w:rsid w:val="00910A51"/>
    <w:rsid w:val="00910AB9"/>
    <w:rsid w:val="0091770E"/>
    <w:rsid w:val="00920326"/>
    <w:rsid w:val="009224F8"/>
    <w:rsid w:val="00922683"/>
    <w:rsid w:val="009323AB"/>
    <w:rsid w:val="009350CA"/>
    <w:rsid w:val="00936117"/>
    <w:rsid w:val="0094398B"/>
    <w:rsid w:val="00944B7D"/>
    <w:rsid w:val="00944C28"/>
    <w:rsid w:val="00945B2E"/>
    <w:rsid w:val="00946160"/>
    <w:rsid w:val="00950320"/>
    <w:rsid w:val="0095275B"/>
    <w:rsid w:val="00957057"/>
    <w:rsid w:val="009570D6"/>
    <w:rsid w:val="0096085E"/>
    <w:rsid w:val="00960BBF"/>
    <w:rsid w:val="00962FD6"/>
    <w:rsid w:val="00965E07"/>
    <w:rsid w:val="0096607E"/>
    <w:rsid w:val="009723AE"/>
    <w:rsid w:val="009735B9"/>
    <w:rsid w:val="00974188"/>
    <w:rsid w:val="00976800"/>
    <w:rsid w:val="009768B8"/>
    <w:rsid w:val="00985FB8"/>
    <w:rsid w:val="0099089C"/>
    <w:rsid w:val="00990BC6"/>
    <w:rsid w:val="0099244F"/>
    <w:rsid w:val="00994243"/>
    <w:rsid w:val="00995D49"/>
    <w:rsid w:val="00996A5D"/>
    <w:rsid w:val="009A07C3"/>
    <w:rsid w:val="009A12AE"/>
    <w:rsid w:val="009A3124"/>
    <w:rsid w:val="009A7FF8"/>
    <w:rsid w:val="009B3310"/>
    <w:rsid w:val="009B3731"/>
    <w:rsid w:val="009B5167"/>
    <w:rsid w:val="009C0E68"/>
    <w:rsid w:val="009C1D4B"/>
    <w:rsid w:val="009C249B"/>
    <w:rsid w:val="009C2625"/>
    <w:rsid w:val="009C6A7A"/>
    <w:rsid w:val="009C799C"/>
    <w:rsid w:val="009D4216"/>
    <w:rsid w:val="009D4B9F"/>
    <w:rsid w:val="009D500A"/>
    <w:rsid w:val="009D5C6D"/>
    <w:rsid w:val="009E17A6"/>
    <w:rsid w:val="009E1A54"/>
    <w:rsid w:val="009E5DB3"/>
    <w:rsid w:val="009F1196"/>
    <w:rsid w:val="009F3983"/>
    <w:rsid w:val="009F7169"/>
    <w:rsid w:val="00A0343E"/>
    <w:rsid w:val="00A03E39"/>
    <w:rsid w:val="00A0510A"/>
    <w:rsid w:val="00A05851"/>
    <w:rsid w:val="00A10601"/>
    <w:rsid w:val="00A11239"/>
    <w:rsid w:val="00A12594"/>
    <w:rsid w:val="00A1407B"/>
    <w:rsid w:val="00A16F11"/>
    <w:rsid w:val="00A20EBD"/>
    <w:rsid w:val="00A25A20"/>
    <w:rsid w:val="00A26A70"/>
    <w:rsid w:val="00A30019"/>
    <w:rsid w:val="00A343B7"/>
    <w:rsid w:val="00A347D3"/>
    <w:rsid w:val="00A358F8"/>
    <w:rsid w:val="00A35B5F"/>
    <w:rsid w:val="00A4028A"/>
    <w:rsid w:val="00A407E0"/>
    <w:rsid w:val="00A440A8"/>
    <w:rsid w:val="00A45607"/>
    <w:rsid w:val="00A504DA"/>
    <w:rsid w:val="00A50C7D"/>
    <w:rsid w:val="00A53003"/>
    <w:rsid w:val="00A53158"/>
    <w:rsid w:val="00A5568F"/>
    <w:rsid w:val="00A56262"/>
    <w:rsid w:val="00A62E54"/>
    <w:rsid w:val="00A65196"/>
    <w:rsid w:val="00A75C3D"/>
    <w:rsid w:val="00A8143C"/>
    <w:rsid w:val="00A83C54"/>
    <w:rsid w:val="00A84EA8"/>
    <w:rsid w:val="00A9055A"/>
    <w:rsid w:val="00A9089A"/>
    <w:rsid w:val="00A928D7"/>
    <w:rsid w:val="00A934F3"/>
    <w:rsid w:val="00A9386F"/>
    <w:rsid w:val="00A96A67"/>
    <w:rsid w:val="00AA0D90"/>
    <w:rsid w:val="00AB063C"/>
    <w:rsid w:val="00AB0F93"/>
    <w:rsid w:val="00AB4B9B"/>
    <w:rsid w:val="00AB74F4"/>
    <w:rsid w:val="00AC0D59"/>
    <w:rsid w:val="00AC3548"/>
    <w:rsid w:val="00AC45B9"/>
    <w:rsid w:val="00AC5A9B"/>
    <w:rsid w:val="00AD400C"/>
    <w:rsid w:val="00AD4A7A"/>
    <w:rsid w:val="00AD7542"/>
    <w:rsid w:val="00AE1207"/>
    <w:rsid w:val="00AE3853"/>
    <w:rsid w:val="00AE63D8"/>
    <w:rsid w:val="00AF0669"/>
    <w:rsid w:val="00AF1161"/>
    <w:rsid w:val="00AF26ED"/>
    <w:rsid w:val="00AF42F6"/>
    <w:rsid w:val="00AF4A0B"/>
    <w:rsid w:val="00AF4B10"/>
    <w:rsid w:val="00AF6426"/>
    <w:rsid w:val="00B007F1"/>
    <w:rsid w:val="00B02460"/>
    <w:rsid w:val="00B10BA0"/>
    <w:rsid w:val="00B121B2"/>
    <w:rsid w:val="00B1393D"/>
    <w:rsid w:val="00B14A91"/>
    <w:rsid w:val="00B17080"/>
    <w:rsid w:val="00B171BE"/>
    <w:rsid w:val="00B174BA"/>
    <w:rsid w:val="00B20F0A"/>
    <w:rsid w:val="00B219EC"/>
    <w:rsid w:val="00B21A76"/>
    <w:rsid w:val="00B30D82"/>
    <w:rsid w:val="00B30DAF"/>
    <w:rsid w:val="00B32915"/>
    <w:rsid w:val="00B33AA7"/>
    <w:rsid w:val="00B3447A"/>
    <w:rsid w:val="00B40EFA"/>
    <w:rsid w:val="00B435E1"/>
    <w:rsid w:val="00B444D5"/>
    <w:rsid w:val="00B44C11"/>
    <w:rsid w:val="00B44F5B"/>
    <w:rsid w:val="00B472E2"/>
    <w:rsid w:val="00B53154"/>
    <w:rsid w:val="00B564AE"/>
    <w:rsid w:val="00B56DB5"/>
    <w:rsid w:val="00B60389"/>
    <w:rsid w:val="00B61006"/>
    <w:rsid w:val="00B6179B"/>
    <w:rsid w:val="00B63EA0"/>
    <w:rsid w:val="00B66F4E"/>
    <w:rsid w:val="00B67A91"/>
    <w:rsid w:val="00B72D54"/>
    <w:rsid w:val="00B735A4"/>
    <w:rsid w:val="00B73A31"/>
    <w:rsid w:val="00B80C38"/>
    <w:rsid w:val="00B8167C"/>
    <w:rsid w:val="00B8343C"/>
    <w:rsid w:val="00B841F5"/>
    <w:rsid w:val="00B85334"/>
    <w:rsid w:val="00B91144"/>
    <w:rsid w:val="00B91ED1"/>
    <w:rsid w:val="00B91F45"/>
    <w:rsid w:val="00B95152"/>
    <w:rsid w:val="00B956EF"/>
    <w:rsid w:val="00B957C8"/>
    <w:rsid w:val="00B97D8A"/>
    <w:rsid w:val="00BA006A"/>
    <w:rsid w:val="00BA2434"/>
    <w:rsid w:val="00BA35AE"/>
    <w:rsid w:val="00BA41DE"/>
    <w:rsid w:val="00BA4A38"/>
    <w:rsid w:val="00BA77B1"/>
    <w:rsid w:val="00BB0447"/>
    <w:rsid w:val="00BB09FE"/>
    <w:rsid w:val="00BB5049"/>
    <w:rsid w:val="00BB5621"/>
    <w:rsid w:val="00BC3EC9"/>
    <w:rsid w:val="00BC593E"/>
    <w:rsid w:val="00BC5EC1"/>
    <w:rsid w:val="00BC7939"/>
    <w:rsid w:val="00BD33DE"/>
    <w:rsid w:val="00BD39DF"/>
    <w:rsid w:val="00BD4CE0"/>
    <w:rsid w:val="00BD5649"/>
    <w:rsid w:val="00BD6F6A"/>
    <w:rsid w:val="00BE57EC"/>
    <w:rsid w:val="00BE5DC9"/>
    <w:rsid w:val="00BE5E11"/>
    <w:rsid w:val="00BF0CC6"/>
    <w:rsid w:val="00BF1277"/>
    <w:rsid w:val="00BF4765"/>
    <w:rsid w:val="00BF5520"/>
    <w:rsid w:val="00BF5782"/>
    <w:rsid w:val="00BF5D7D"/>
    <w:rsid w:val="00C02D3A"/>
    <w:rsid w:val="00C0477E"/>
    <w:rsid w:val="00C0657B"/>
    <w:rsid w:val="00C068E0"/>
    <w:rsid w:val="00C0702D"/>
    <w:rsid w:val="00C1016A"/>
    <w:rsid w:val="00C10922"/>
    <w:rsid w:val="00C12DFA"/>
    <w:rsid w:val="00C170CF"/>
    <w:rsid w:val="00C30348"/>
    <w:rsid w:val="00C330E8"/>
    <w:rsid w:val="00C4131D"/>
    <w:rsid w:val="00C43454"/>
    <w:rsid w:val="00C453D7"/>
    <w:rsid w:val="00C45F4E"/>
    <w:rsid w:val="00C504CF"/>
    <w:rsid w:val="00C50DC2"/>
    <w:rsid w:val="00C5193B"/>
    <w:rsid w:val="00C54717"/>
    <w:rsid w:val="00C54C06"/>
    <w:rsid w:val="00C6743B"/>
    <w:rsid w:val="00C67585"/>
    <w:rsid w:val="00C67BC9"/>
    <w:rsid w:val="00C732A6"/>
    <w:rsid w:val="00C74008"/>
    <w:rsid w:val="00C75103"/>
    <w:rsid w:val="00C76AF8"/>
    <w:rsid w:val="00C80702"/>
    <w:rsid w:val="00C81247"/>
    <w:rsid w:val="00C82A5E"/>
    <w:rsid w:val="00C87D96"/>
    <w:rsid w:val="00C91748"/>
    <w:rsid w:val="00C928EC"/>
    <w:rsid w:val="00C92F58"/>
    <w:rsid w:val="00C9509D"/>
    <w:rsid w:val="00C95593"/>
    <w:rsid w:val="00C964A6"/>
    <w:rsid w:val="00C96C27"/>
    <w:rsid w:val="00CA14B5"/>
    <w:rsid w:val="00CA2EFD"/>
    <w:rsid w:val="00CB1BC3"/>
    <w:rsid w:val="00CB54AC"/>
    <w:rsid w:val="00CB5DD8"/>
    <w:rsid w:val="00CB62C2"/>
    <w:rsid w:val="00CB73B2"/>
    <w:rsid w:val="00CC2118"/>
    <w:rsid w:val="00CC49AA"/>
    <w:rsid w:val="00CC6B90"/>
    <w:rsid w:val="00CC7C3E"/>
    <w:rsid w:val="00CD04FF"/>
    <w:rsid w:val="00CD09C8"/>
    <w:rsid w:val="00CD2D01"/>
    <w:rsid w:val="00CD35D3"/>
    <w:rsid w:val="00CD4116"/>
    <w:rsid w:val="00CE0993"/>
    <w:rsid w:val="00CE25F5"/>
    <w:rsid w:val="00CE2987"/>
    <w:rsid w:val="00CE33A7"/>
    <w:rsid w:val="00CE4821"/>
    <w:rsid w:val="00CE5A7A"/>
    <w:rsid w:val="00CE5C8B"/>
    <w:rsid w:val="00CF0E73"/>
    <w:rsid w:val="00CF31A4"/>
    <w:rsid w:val="00CF4AF8"/>
    <w:rsid w:val="00D038E7"/>
    <w:rsid w:val="00D056AE"/>
    <w:rsid w:val="00D0605F"/>
    <w:rsid w:val="00D061C4"/>
    <w:rsid w:val="00D12A31"/>
    <w:rsid w:val="00D1782A"/>
    <w:rsid w:val="00D20FF0"/>
    <w:rsid w:val="00D22CD1"/>
    <w:rsid w:val="00D25587"/>
    <w:rsid w:val="00D25AB1"/>
    <w:rsid w:val="00D264BF"/>
    <w:rsid w:val="00D26751"/>
    <w:rsid w:val="00D27430"/>
    <w:rsid w:val="00D31BBF"/>
    <w:rsid w:val="00D35CC2"/>
    <w:rsid w:val="00D3608F"/>
    <w:rsid w:val="00D40054"/>
    <w:rsid w:val="00D40966"/>
    <w:rsid w:val="00D4156E"/>
    <w:rsid w:val="00D41E37"/>
    <w:rsid w:val="00D43B50"/>
    <w:rsid w:val="00D4571F"/>
    <w:rsid w:val="00D47B12"/>
    <w:rsid w:val="00D512CB"/>
    <w:rsid w:val="00D52E58"/>
    <w:rsid w:val="00D53C5F"/>
    <w:rsid w:val="00D545A4"/>
    <w:rsid w:val="00D55A96"/>
    <w:rsid w:val="00D565D7"/>
    <w:rsid w:val="00D57342"/>
    <w:rsid w:val="00D575CE"/>
    <w:rsid w:val="00D62370"/>
    <w:rsid w:val="00D65BBC"/>
    <w:rsid w:val="00D6642B"/>
    <w:rsid w:val="00D66B34"/>
    <w:rsid w:val="00D675A0"/>
    <w:rsid w:val="00D701CB"/>
    <w:rsid w:val="00D727AC"/>
    <w:rsid w:val="00D745A2"/>
    <w:rsid w:val="00D76134"/>
    <w:rsid w:val="00D767DA"/>
    <w:rsid w:val="00D8087B"/>
    <w:rsid w:val="00D816B7"/>
    <w:rsid w:val="00D82222"/>
    <w:rsid w:val="00D82DE9"/>
    <w:rsid w:val="00D8390D"/>
    <w:rsid w:val="00D83FCE"/>
    <w:rsid w:val="00D845A2"/>
    <w:rsid w:val="00D868A8"/>
    <w:rsid w:val="00D87B61"/>
    <w:rsid w:val="00D90A7E"/>
    <w:rsid w:val="00D9122A"/>
    <w:rsid w:val="00D91AEF"/>
    <w:rsid w:val="00D92F09"/>
    <w:rsid w:val="00D938AF"/>
    <w:rsid w:val="00D95FC4"/>
    <w:rsid w:val="00D970BB"/>
    <w:rsid w:val="00DA0002"/>
    <w:rsid w:val="00DA1B0C"/>
    <w:rsid w:val="00DA3C53"/>
    <w:rsid w:val="00DA7635"/>
    <w:rsid w:val="00DA7A45"/>
    <w:rsid w:val="00DB6E3B"/>
    <w:rsid w:val="00DB7B57"/>
    <w:rsid w:val="00DC17FA"/>
    <w:rsid w:val="00DC3BB1"/>
    <w:rsid w:val="00DD134B"/>
    <w:rsid w:val="00DD3257"/>
    <w:rsid w:val="00DD583F"/>
    <w:rsid w:val="00DD7171"/>
    <w:rsid w:val="00DE24ED"/>
    <w:rsid w:val="00DE7A6D"/>
    <w:rsid w:val="00DF08F8"/>
    <w:rsid w:val="00DF0ACC"/>
    <w:rsid w:val="00DF124D"/>
    <w:rsid w:val="00DF200D"/>
    <w:rsid w:val="00DF5198"/>
    <w:rsid w:val="00DF5A90"/>
    <w:rsid w:val="00DF60CE"/>
    <w:rsid w:val="00E03240"/>
    <w:rsid w:val="00E03FB7"/>
    <w:rsid w:val="00E07596"/>
    <w:rsid w:val="00E07635"/>
    <w:rsid w:val="00E11092"/>
    <w:rsid w:val="00E11CB7"/>
    <w:rsid w:val="00E14A75"/>
    <w:rsid w:val="00E1519F"/>
    <w:rsid w:val="00E160DE"/>
    <w:rsid w:val="00E1626C"/>
    <w:rsid w:val="00E17933"/>
    <w:rsid w:val="00E204B0"/>
    <w:rsid w:val="00E224EE"/>
    <w:rsid w:val="00E22EF9"/>
    <w:rsid w:val="00E22FCA"/>
    <w:rsid w:val="00E2352A"/>
    <w:rsid w:val="00E257FC"/>
    <w:rsid w:val="00E27A0D"/>
    <w:rsid w:val="00E32CB5"/>
    <w:rsid w:val="00E332E5"/>
    <w:rsid w:val="00E34369"/>
    <w:rsid w:val="00E34E0F"/>
    <w:rsid w:val="00E35C20"/>
    <w:rsid w:val="00E37C5C"/>
    <w:rsid w:val="00E4022E"/>
    <w:rsid w:val="00E41AE1"/>
    <w:rsid w:val="00E42389"/>
    <w:rsid w:val="00E42C62"/>
    <w:rsid w:val="00E47CD7"/>
    <w:rsid w:val="00E50023"/>
    <w:rsid w:val="00E5296C"/>
    <w:rsid w:val="00E5383F"/>
    <w:rsid w:val="00E63AB8"/>
    <w:rsid w:val="00E63EB8"/>
    <w:rsid w:val="00E64622"/>
    <w:rsid w:val="00E6619E"/>
    <w:rsid w:val="00E70E3A"/>
    <w:rsid w:val="00E70E6A"/>
    <w:rsid w:val="00E73FDA"/>
    <w:rsid w:val="00E74103"/>
    <w:rsid w:val="00E842FA"/>
    <w:rsid w:val="00E86383"/>
    <w:rsid w:val="00E90D90"/>
    <w:rsid w:val="00E93AC1"/>
    <w:rsid w:val="00E95F00"/>
    <w:rsid w:val="00EA03CE"/>
    <w:rsid w:val="00EA1537"/>
    <w:rsid w:val="00EA510B"/>
    <w:rsid w:val="00EA6AFF"/>
    <w:rsid w:val="00EA7D57"/>
    <w:rsid w:val="00EB35A4"/>
    <w:rsid w:val="00EB41FF"/>
    <w:rsid w:val="00EB50BE"/>
    <w:rsid w:val="00EB6168"/>
    <w:rsid w:val="00EB7DBF"/>
    <w:rsid w:val="00EC1655"/>
    <w:rsid w:val="00EC327C"/>
    <w:rsid w:val="00EC53F3"/>
    <w:rsid w:val="00EC6364"/>
    <w:rsid w:val="00ED060C"/>
    <w:rsid w:val="00ED2FD0"/>
    <w:rsid w:val="00ED568A"/>
    <w:rsid w:val="00ED62C9"/>
    <w:rsid w:val="00EE4342"/>
    <w:rsid w:val="00EE4838"/>
    <w:rsid w:val="00EE7241"/>
    <w:rsid w:val="00EE7944"/>
    <w:rsid w:val="00EF55AF"/>
    <w:rsid w:val="00EF5E82"/>
    <w:rsid w:val="00EF6311"/>
    <w:rsid w:val="00F019B3"/>
    <w:rsid w:val="00F01BA2"/>
    <w:rsid w:val="00F02424"/>
    <w:rsid w:val="00F10055"/>
    <w:rsid w:val="00F1072C"/>
    <w:rsid w:val="00F12FEE"/>
    <w:rsid w:val="00F1416A"/>
    <w:rsid w:val="00F14741"/>
    <w:rsid w:val="00F1612E"/>
    <w:rsid w:val="00F177D5"/>
    <w:rsid w:val="00F177F5"/>
    <w:rsid w:val="00F205BB"/>
    <w:rsid w:val="00F21161"/>
    <w:rsid w:val="00F23A07"/>
    <w:rsid w:val="00F24F0F"/>
    <w:rsid w:val="00F25EB6"/>
    <w:rsid w:val="00F30C58"/>
    <w:rsid w:val="00F316D9"/>
    <w:rsid w:val="00F327E1"/>
    <w:rsid w:val="00F37F42"/>
    <w:rsid w:val="00F40BD1"/>
    <w:rsid w:val="00F40D28"/>
    <w:rsid w:val="00F40E88"/>
    <w:rsid w:val="00F44876"/>
    <w:rsid w:val="00F46499"/>
    <w:rsid w:val="00F47D28"/>
    <w:rsid w:val="00F503D9"/>
    <w:rsid w:val="00F51E59"/>
    <w:rsid w:val="00F51FE0"/>
    <w:rsid w:val="00F52557"/>
    <w:rsid w:val="00F548CF"/>
    <w:rsid w:val="00F54A45"/>
    <w:rsid w:val="00F54B22"/>
    <w:rsid w:val="00F553A2"/>
    <w:rsid w:val="00F570B9"/>
    <w:rsid w:val="00F61737"/>
    <w:rsid w:val="00F626B0"/>
    <w:rsid w:val="00F6391A"/>
    <w:rsid w:val="00F660DE"/>
    <w:rsid w:val="00F70AA6"/>
    <w:rsid w:val="00F73792"/>
    <w:rsid w:val="00F7783F"/>
    <w:rsid w:val="00F81B1C"/>
    <w:rsid w:val="00F84F7A"/>
    <w:rsid w:val="00F90B5B"/>
    <w:rsid w:val="00F91C44"/>
    <w:rsid w:val="00F92670"/>
    <w:rsid w:val="00F942C2"/>
    <w:rsid w:val="00F95F64"/>
    <w:rsid w:val="00FA143E"/>
    <w:rsid w:val="00FA2435"/>
    <w:rsid w:val="00FA27FD"/>
    <w:rsid w:val="00FA3F42"/>
    <w:rsid w:val="00FA410E"/>
    <w:rsid w:val="00FA63D4"/>
    <w:rsid w:val="00FA6DAB"/>
    <w:rsid w:val="00FC1878"/>
    <w:rsid w:val="00FD0813"/>
    <w:rsid w:val="00FD224F"/>
    <w:rsid w:val="00FD2637"/>
    <w:rsid w:val="00FD2CE3"/>
    <w:rsid w:val="00FD4711"/>
    <w:rsid w:val="00FD50FC"/>
    <w:rsid w:val="00FE06D2"/>
    <w:rsid w:val="00FE2DDE"/>
    <w:rsid w:val="00FE2E84"/>
    <w:rsid w:val="00FE3235"/>
    <w:rsid w:val="00FE4A79"/>
    <w:rsid w:val="00FF0608"/>
    <w:rsid w:val="00FF39C1"/>
    <w:rsid w:val="00FF46BA"/>
    <w:rsid w:val="423E779E"/>
    <w:rsid w:val="51047CCE"/>
    <w:rsid w:val="5F3F2C5A"/>
    <w:rsid w:val="67A76B38"/>
    <w:rsid w:val="727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46"/>
    <w:semiHidden/>
    <w:unhideWhenUsed/>
    <w:uiPriority w:val="99"/>
    <w:rPr>
      <w:b/>
      <w:bCs/>
    </w:rPr>
  </w:style>
  <w:style w:type="paragraph" w:styleId="6">
    <w:name w:val="annotation text"/>
    <w:basedOn w:val="1"/>
    <w:link w:val="45"/>
    <w:semiHidden/>
    <w:unhideWhenUsed/>
    <w:qFormat/>
    <w:uiPriority w:val="99"/>
    <w:pPr>
      <w:jc w:val="left"/>
    </w:pPr>
  </w:style>
  <w:style w:type="paragraph" w:styleId="7">
    <w:name w:val="Body Text"/>
    <w:basedOn w:val="1"/>
    <w:link w:val="48"/>
    <w:qFormat/>
    <w:uiPriority w:val="0"/>
    <w:pPr>
      <w:jc w:val="left"/>
    </w:pPr>
    <w:rPr>
      <w:rFonts w:ascii="宋体" w:hAnsi="宋体" w:eastAsia="宋体"/>
      <w:kern w:val="0"/>
      <w:sz w:val="24"/>
      <w:szCs w:val="24"/>
      <w:lang w:eastAsia="en-US"/>
    </w:rPr>
  </w:style>
  <w:style w:type="paragraph" w:styleId="8">
    <w:name w:val="toc 3"/>
    <w:basedOn w:val="1"/>
    <w:next w:val="1"/>
    <w:unhideWhenUsed/>
    <w:qFormat/>
    <w:uiPriority w:val="39"/>
    <w:pPr>
      <w:ind w:left="840" w:leftChars="400"/>
    </w:pPr>
  </w:style>
  <w:style w:type="paragraph" w:styleId="9">
    <w:name w:val="Date"/>
    <w:basedOn w:val="1"/>
    <w:next w:val="1"/>
    <w:link w:val="64"/>
    <w:semiHidden/>
    <w:unhideWhenUsed/>
    <w:qFormat/>
    <w:uiPriority w:val="99"/>
    <w:pPr>
      <w:ind w:left="100" w:leftChars="2500"/>
    </w:pPr>
  </w:style>
  <w:style w:type="paragraph" w:styleId="10">
    <w:name w:val="Balloon Text"/>
    <w:basedOn w:val="1"/>
    <w:link w:val="42"/>
    <w:semiHidden/>
    <w:unhideWhenUsed/>
    <w:uiPriority w:val="99"/>
    <w:rPr>
      <w:sz w:val="18"/>
      <w:szCs w:val="18"/>
    </w:rPr>
  </w:style>
  <w:style w:type="paragraph" w:styleId="11">
    <w:name w:val="footer"/>
    <w:basedOn w:val="1"/>
    <w:link w:val="36"/>
    <w:unhideWhenUsed/>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uiPriority w:val="39"/>
  </w:style>
  <w:style w:type="paragraph" w:styleId="14">
    <w:name w:val="toc 2"/>
    <w:basedOn w:val="1"/>
    <w:next w:val="1"/>
    <w:unhideWhenUsed/>
    <w:qFormat/>
    <w:uiPriority w:val="39"/>
    <w:pPr>
      <w:ind w:left="420" w:leftChars="200"/>
    </w:pPr>
  </w:style>
  <w:style w:type="paragraph" w:styleId="15">
    <w:name w:val="Title"/>
    <w:basedOn w:val="1"/>
    <w:next w:val="1"/>
    <w:link w:val="57"/>
    <w:qFormat/>
    <w:uiPriority w:val="10"/>
    <w:pPr>
      <w:spacing w:before="80" w:after="80" w:line="440" w:lineRule="exact"/>
      <w:jc w:val="left"/>
      <w:outlineLvl w:val="0"/>
    </w:pPr>
    <w:rPr>
      <w:rFonts w:eastAsia="Times New Roman" w:asciiTheme="majorHAnsi" w:hAnsiTheme="majorHAnsi" w:cstheme="majorBidi"/>
      <w:b/>
      <w:bCs/>
      <w:sz w:val="28"/>
      <w:szCs w:val="32"/>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标题 1 字符"/>
    <w:basedOn w:val="16"/>
    <w:link w:val="2"/>
    <w:uiPriority w:val="9"/>
    <w:rPr>
      <w:b/>
      <w:bCs/>
      <w:kern w:val="44"/>
      <w:sz w:val="44"/>
      <w:szCs w:val="44"/>
    </w:rPr>
  </w:style>
  <w:style w:type="character" w:customStyle="1" w:styleId="22">
    <w:name w:val="标题 2 字符"/>
    <w:basedOn w:val="16"/>
    <w:link w:val="3"/>
    <w:semiHidden/>
    <w:qFormat/>
    <w:uiPriority w:val="9"/>
    <w:rPr>
      <w:rFonts w:asciiTheme="majorHAnsi" w:hAnsiTheme="majorHAnsi" w:eastAsiaTheme="majorEastAsia" w:cstheme="majorBidi"/>
      <w:b/>
      <w:bCs/>
      <w:sz w:val="32"/>
      <w:szCs w:val="32"/>
    </w:rPr>
  </w:style>
  <w:style w:type="character" w:customStyle="1" w:styleId="23">
    <w:name w:val="标题 3 字符"/>
    <w:basedOn w:val="16"/>
    <w:link w:val="4"/>
    <w:semiHidden/>
    <w:qFormat/>
    <w:uiPriority w:val="9"/>
    <w:rPr>
      <w:b/>
      <w:bCs/>
      <w:sz w:val="32"/>
      <w:szCs w:val="32"/>
    </w:rPr>
  </w:style>
  <w:style w:type="paragraph" w:customStyle="1" w:styleId="24">
    <w:name w:val="RH-1正文"/>
    <w:qFormat/>
    <w:uiPriority w:val="0"/>
    <w:pPr>
      <w:spacing w:line="480" w:lineRule="exact"/>
      <w:ind w:firstLine="200" w:firstLineChars="200"/>
    </w:pPr>
    <w:rPr>
      <w:rFonts w:ascii="Times New Roman" w:hAnsi="Times New Roman" w:eastAsia="宋体" w:cs="Times New Roman"/>
      <w:color w:val="000000"/>
      <w:kern w:val="2"/>
      <w:sz w:val="24"/>
      <w:szCs w:val="24"/>
      <w:lang w:val="en-US" w:eastAsia="zh-CN" w:bidi="ar-SA"/>
    </w:rPr>
  </w:style>
  <w:style w:type="paragraph" w:customStyle="1" w:styleId="25">
    <w:name w:val="RH-2表标题"/>
    <w:basedOn w:val="1"/>
    <w:link w:val="26"/>
    <w:qFormat/>
    <w:uiPriority w:val="0"/>
    <w:pPr>
      <w:spacing w:line="480" w:lineRule="exact"/>
      <w:ind w:firstLine="200" w:firstLineChars="200"/>
    </w:pPr>
    <w:rPr>
      <w:rFonts w:ascii="Times New Roman" w:hAnsi="Times New Roman" w:eastAsia="黑体" w:cs="Times New Roman"/>
      <w:color w:val="000000"/>
      <w:sz w:val="24"/>
      <w:szCs w:val="24"/>
    </w:rPr>
  </w:style>
  <w:style w:type="character" w:customStyle="1" w:styleId="26">
    <w:name w:val="RH-2表标题 字符"/>
    <w:basedOn w:val="16"/>
    <w:link w:val="25"/>
    <w:qFormat/>
    <w:uiPriority w:val="0"/>
    <w:rPr>
      <w:rFonts w:ascii="Times New Roman" w:hAnsi="Times New Roman" w:eastAsia="黑体" w:cs="Times New Roman"/>
      <w:color w:val="000000"/>
      <w:sz w:val="24"/>
      <w:szCs w:val="24"/>
    </w:rPr>
  </w:style>
  <w:style w:type="paragraph" w:customStyle="1" w:styleId="27">
    <w:name w:val="RH-2图标题"/>
    <w:basedOn w:val="25"/>
    <w:next w:val="24"/>
    <w:qFormat/>
    <w:uiPriority w:val="0"/>
    <w:pPr>
      <w:ind w:firstLine="0" w:firstLineChars="0"/>
      <w:jc w:val="center"/>
    </w:pPr>
  </w:style>
  <w:style w:type="paragraph" w:customStyle="1" w:styleId="28">
    <w:name w:val="RH-3表内容"/>
    <w:basedOn w:val="1"/>
    <w:qFormat/>
    <w:uiPriority w:val="0"/>
    <w:pPr>
      <w:widowControl/>
      <w:spacing w:line="240" w:lineRule="exact"/>
      <w:jc w:val="center"/>
    </w:pPr>
    <w:rPr>
      <w:rFonts w:ascii="Times New Roman" w:hAnsi="Times New Roman" w:eastAsia="宋体" w:cs="宋体"/>
      <w:color w:val="000000"/>
      <w:szCs w:val="21"/>
    </w:rPr>
  </w:style>
  <w:style w:type="paragraph" w:customStyle="1" w:styleId="29">
    <w:name w:val="RH-3表内容-小五"/>
    <w:basedOn w:val="28"/>
    <w:next w:val="24"/>
    <w:qFormat/>
    <w:uiPriority w:val="0"/>
    <w:rPr>
      <w:sz w:val="18"/>
      <w:szCs w:val="18"/>
    </w:rPr>
  </w:style>
  <w:style w:type="paragraph" w:customStyle="1" w:styleId="30">
    <w:name w:val="RH-4标题1"/>
    <w:basedOn w:val="1"/>
    <w:next w:val="24"/>
    <w:qFormat/>
    <w:uiPriority w:val="0"/>
    <w:pPr>
      <w:keepLines/>
      <w:spacing w:before="360" w:after="360" w:line="520" w:lineRule="exact"/>
      <w:outlineLvl w:val="0"/>
    </w:pPr>
    <w:rPr>
      <w:rFonts w:ascii="Times New Roman" w:hAnsi="Times New Roman" w:eastAsia="黑体" w:cs="Times New Roman"/>
      <w:bCs/>
      <w:color w:val="000000" w:themeColor="text1"/>
      <w:kern w:val="44"/>
      <w:sz w:val="36"/>
      <w:szCs w:val="24"/>
      <w14:textFill>
        <w14:solidFill>
          <w14:schemeClr w14:val="tx1"/>
        </w14:solidFill>
      </w14:textFill>
    </w:rPr>
  </w:style>
  <w:style w:type="paragraph" w:customStyle="1" w:styleId="31">
    <w:name w:val="RH-4标题2"/>
    <w:basedOn w:val="1"/>
    <w:next w:val="24"/>
    <w:qFormat/>
    <w:uiPriority w:val="0"/>
    <w:pPr>
      <w:spacing w:before="120" w:after="120" w:line="440" w:lineRule="exact"/>
      <w:outlineLvl w:val="1"/>
    </w:pPr>
    <w:rPr>
      <w:rFonts w:ascii="Times New Roman" w:hAnsi="Times New Roman" w:eastAsia="黑体" w:cs="Times New Roman"/>
      <w:color w:val="000000" w:themeColor="text1"/>
      <w:sz w:val="28"/>
      <w:szCs w:val="24"/>
      <w14:textFill>
        <w14:solidFill>
          <w14:schemeClr w14:val="tx1"/>
        </w14:solidFill>
      </w14:textFill>
    </w:rPr>
  </w:style>
  <w:style w:type="paragraph" w:customStyle="1" w:styleId="32">
    <w:name w:val="RH-4标题3"/>
    <w:basedOn w:val="1"/>
    <w:next w:val="24"/>
    <w:qFormat/>
    <w:uiPriority w:val="0"/>
    <w:pPr>
      <w:spacing w:before="80" w:after="80" w:line="440" w:lineRule="exact"/>
      <w:outlineLvl w:val="2"/>
    </w:pPr>
    <w:rPr>
      <w:rFonts w:ascii="Times New Roman" w:hAnsi="Times New Roman" w:eastAsia="楷体_GB2312" w:cs="Times New Roman"/>
      <w:color w:val="000000" w:themeColor="text1"/>
      <w:sz w:val="28"/>
      <w:szCs w:val="24"/>
      <w14:textFill>
        <w14:solidFill>
          <w14:schemeClr w14:val="tx1"/>
        </w14:solidFill>
      </w14:textFill>
    </w:rPr>
  </w:style>
  <w:style w:type="paragraph" w:customStyle="1" w:styleId="33">
    <w:name w:val="RH-4标题4"/>
    <w:basedOn w:val="1"/>
    <w:next w:val="24"/>
    <w:qFormat/>
    <w:uiPriority w:val="0"/>
    <w:pPr>
      <w:spacing w:line="480" w:lineRule="exact"/>
      <w:jc w:val="left"/>
      <w:outlineLvl w:val="3"/>
    </w:pPr>
    <w:rPr>
      <w:rFonts w:ascii="Times New Roman" w:hAnsi="Times New Roman" w:eastAsia="宋体" w:cs="Times New Roman"/>
      <w:bCs/>
      <w:snapToGrid w:val="0"/>
      <w:color w:val="000000"/>
      <w:sz w:val="24"/>
      <w:szCs w:val="24"/>
    </w:rPr>
  </w:style>
  <w:style w:type="paragraph" w:customStyle="1" w:styleId="34">
    <w:name w:val="RH-5图片"/>
    <w:basedOn w:val="28"/>
    <w:qFormat/>
    <w:uiPriority w:val="0"/>
    <w:pPr>
      <w:spacing w:line="240" w:lineRule="auto"/>
    </w:p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 w:type="paragraph" w:styleId="37">
    <w:name w:val="List Paragraph"/>
    <w:basedOn w:val="1"/>
    <w:qFormat/>
    <w:uiPriority w:val="34"/>
    <w:pPr>
      <w:ind w:firstLine="420" w:firstLineChars="200"/>
    </w:pPr>
  </w:style>
  <w:style w:type="paragraph" w:customStyle="1" w:styleId="38">
    <w:name w:val="RH-1标题1"/>
    <w:basedOn w:val="1"/>
    <w:next w:val="1"/>
    <w:qFormat/>
    <w:uiPriority w:val="0"/>
    <w:pPr>
      <w:keepLines/>
      <w:spacing w:before="320" w:after="320" w:line="520" w:lineRule="exact"/>
      <w:outlineLvl w:val="0"/>
    </w:pPr>
    <w:rPr>
      <w:rFonts w:ascii="Times New Roman" w:hAnsi="Times New Roman" w:eastAsia="黑体" w:cs="Times New Roman"/>
      <w:bCs/>
      <w:kern w:val="44"/>
      <w:sz w:val="36"/>
    </w:rPr>
  </w:style>
  <w:style w:type="paragraph" w:customStyle="1" w:styleId="39">
    <w:name w:val="RH-2标题2"/>
    <w:basedOn w:val="3"/>
    <w:next w:val="1"/>
    <w:qFormat/>
    <w:uiPriority w:val="0"/>
    <w:pPr>
      <w:spacing w:before="120" w:after="120" w:line="520" w:lineRule="exact"/>
    </w:pPr>
    <w:rPr>
      <w:rFonts w:ascii="Times New Roman" w:hAnsi="Times New Roman" w:eastAsia="黑体" w:cs="Times New Roman"/>
      <w:b w:val="0"/>
      <w:color w:val="000000" w:themeColor="text1"/>
      <w:sz w:val="28"/>
      <w14:textFill>
        <w14:solidFill>
          <w14:schemeClr w14:val="tx1"/>
        </w14:solidFill>
      </w14:textFill>
    </w:rPr>
  </w:style>
  <w:style w:type="paragraph" w:customStyle="1" w:styleId="40">
    <w:name w:val="RH-3标题3"/>
    <w:basedOn w:val="4"/>
    <w:link w:val="41"/>
    <w:qFormat/>
    <w:uiPriority w:val="0"/>
    <w:pPr>
      <w:spacing w:before="80" w:after="80" w:line="520" w:lineRule="exact"/>
      <w:jc w:val="left"/>
    </w:pPr>
    <w:rPr>
      <w:rFonts w:ascii="Times New Roman" w:hAnsi="Times New Roman" w:eastAsia="楷体" w:cs="Times New Roman"/>
      <w:b w:val="0"/>
      <w:color w:val="FF0000"/>
      <w:sz w:val="28"/>
      <w:szCs w:val="20"/>
    </w:rPr>
  </w:style>
  <w:style w:type="character" w:customStyle="1" w:styleId="41">
    <w:name w:val="RH-3标题3 字符"/>
    <w:basedOn w:val="16"/>
    <w:link w:val="40"/>
    <w:uiPriority w:val="0"/>
    <w:rPr>
      <w:rFonts w:ascii="Times New Roman" w:hAnsi="Times New Roman" w:eastAsia="楷体" w:cs="Times New Roman"/>
      <w:bCs/>
      <w:color w:val="FF0000"/>
      <w:sz w:val="28"/>
      <w:szCs w:val="20"/>
    </w:rPr>
  </w:style>
  <w:style w:type="character" w:customStyle="1" w:styleId="42">
    <w:name w:val="批注框文本 字符"/>
    <w:basedOn w:val="16"/>
    <w:link w:val="10"/>
    <w:semiHidden/>
    <w:qFormat/>
    <w:uiPriority w:val="99"/>
    <w:rPr>
      <w:sz w:val="18"/>
      <w:szCs w:val="18"/>
    </w:rPr>
  </w:style>
  <w:style w:type="paragraph" w:customStyle="1" w:styleId="43">
    <w:name w:val="2级标题"/>
    <w:basedOn w:val="3"/>
    <w:link w:val="44"/>
    <w:qFormat/>
    <w:uiPriority w:val="0"/>
    <w:pPr>
      <w:widowControl/>
      <w:spacing w:before="120" w:after="120" w:line="520" w:lineRule="exact"/>
      <w:jc w:val="left"/>
    </w:pPr>
    <w:rPr>
      <w:rFonts w:ascii="Times New Roman" w:hAnsi="Times New Roman" w:eastAsia="黑体" w:cs="Times New Roman"/>
      <w:b w:val="0"/>
      <w:sz w:val="28"/>
    </w:rPr>
  </w:style>
  <w:style w:type="character" w:customStyle="1" w:styleId="44">
    <w:name w:val="2级标题 Char"/>
    <w:link w:val="43"/>
    <w:qFormat/>
    <w:uiPriority w:val="0"/>
    <w:rPr>
      <w:rFonts w:ascii="Times New Roman" w:hAnsi="Times New Roman" w:eastAsia="黑体" w:cs="Times New Roman"/>
      <w:bCs/>
      <w:sz w:val="28"/>
      <w:szCs w:val="32"/>
    </w:rPr>
  </w:style>
  <w:style w:type="character" w:customStyle="1" w:styleId="45">
    <w:name w:val="批注文字 字符"/>
    <w:basedOn w:val="16"/>
    <w:link w:val="6"/>
    <w:semiHidden/>
    <w:qFormat/>
    <w:uiPriority w:val="99"/>
  </w:style>
  <w:style w:type="character" w:customStyle="1" w:styleId="46">
    <w:name w:val="批注主题 字符"/>
    <w:basedOn w:val="45"/>
    <w:link w:val="5"/>
    <w:semiHidden/>
    <w:uiPriority w:val="99"/>
    <w:rPr>
      <w:b/>
      <w:bCs/>
    </w:rPr>
  </w:style>
  <w:style w:type="paragraph" w:customStyle="1" w:styleId="47">
    <w:name w:val="bg"/>
    <w:qFormat/>
    <w:uiPriority w:val="1"/>
    <w:pPr>
      <w:widowControl w:val="0"/>
      <w:spacing w:line="240" w:lineRule="exact"/>
      <w:jc w:val="center"/>
    </w:pPr>
    <w:rPr>
      <w:rFonts w:ascii="Times New Roman" w:hAnsi="Times New Roman" w:eastAsia="宋体" w:cs="Times New Roman"/>
      <w:kern w:val="2"/>
      <w:sz w:val="21"/>
      <w:szCs w:val="21"/>
      <w:lang w:val="en-US" w:eastAsia="zh-CN" w:bidi="ar-SA"/>
    </w:rPr>
  </w:style>
  <w:style w:type="character" w:customStyle="1" w:styleId="48">
    <w:name w:val="正文文本 字符"/>
    <w:basedOn w:val="16"/>
    <w:link w:val="7"/>
    <w:qFormat/>
    <w:uiPriority w:val="0"/>
    <w:rPr>
      <w:rFonts w:ascii="宋体" w:hAnsi="宋体" w:eastAsia="宋体"/>
      <w:kern w:val="0"/>
      <w:sz w:val="24"/>
      <w:szCs w:val="24"/>
      <w:lang w:eastAsia="en-US"/>
    </w:rPr>
  </w:style>
  <w:style w:type="paragraph" w:customStyle="1" w:styleId="4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0">
    <w:name w:val="RH图标题"/>
    <w:basedOn w:val="25"/>
    <w:link w:val="51"/>
    <w:qFormat/>
    <w:uiPriority w:val="0"/>
    <w:pPr>
      <w:ind w:firstLine="480"/>
      <w:jc w:val="center"/>
    </w:pPr>
  </w:style>
  <w:style w:type="character" w:customStyle="1" w:styleId="51">
    <w:name w:val="RH图标题 字符"/>
    <w:basedOn w:val="16"/>
    <w:link w:val="50"/>
    <w:qFormat/>
    <w:uiPriority w:val="0"/>
    <w:rPr>
      <w:rFonts w:ascii="Times New Roman" w:hAnsi="Times New Roman" w:eastAsia="黑体" w:cs="Times New Roman"/>
      <w:color w:val="000000"/>
      <w:sz w:val="24"/>
      <w:szCs w:val="24"/>
    </w:rPr>
  </w:style>
  <w:style w:type="paragraph" w:customStyle="1" w:styleId="52">
    <w:name w:val="Table Paragraph"/>
    <w:basedOn w:val="1"/>
    <w:qFormat/>
    <w:uiPriority w:val="1"/>
    <w:pPr>
      <w:ind w:left="115"/>
    </w:pPr>
    <w:rPr>
      <w:rFonts w:ascii="Arial" w:hAnsi="Arial" w:eastAsia="Arial" w:cs="Arial"/>
      <w:szCs w:val="24"/>
    </w:rPr>
  </w:style>
  <w:style w:type="character" w:styleId="53">
    <w:name w:val="Placeholder Text"/>
    <w:basedOn w:val="16"/>
    <w:semiHidden/>
    <w:qFormat/>
    <w:uiPriority w:val="99"/>
    <w:rPr>
      <w:color w:val="808080"/>
    </w:rPr>
  </w:style>
  <w:style w:type="paragraph" w:customStyle="1" w:styleId="54">
    <w:name w:val="RH-3表内容1"/>
    <w:qFormat/>
    <w:uiPriority w:val="0"/>
    <w:pPr>
      <w:spacing w:line="240" w:lineRule="exact"/>
      <w:jc w:val="center"/>
    </w:pPr>
    <w:rPr>
      <w:rFonts w:cs="宋体" w:asciiTheme="minorHAnsi" w:hAnsiTheme="minorHAnsi" w:eastAsiaTheme="minorEastAsia"/>
      <w:color w:val="000000"/>
      <w:kern w:val="0"/>
      <w:sz w:val="21"/>
      <w:szCs w:val="21"/>
      <w:lang w:val="en-US" w:eastAsia="zh-CN" w:bidi="ar-SA"/>
    </w:rPr>
  </w:style>
  <w:style w:type="paragraph" w:customStyle="1" w:styleId="55">
    <w:name w:val="表格标题"/>
    <w:next w:val="1"/>
    <w:link w:val="56"/>
    <w:qFormat/>
    <w:uiPriority w:val="0"/>
    <w:pPr>
      <w:spacing w:beforeLines="50" w:afterLines="50" w:line="480" w:lineRule="exact"/>
      <w:ind w:firstLine="200" w:firstLineChars="200"/>
    </w:pPr>
    <w:rPr>
      <w:rFonts w:ascii="Times New Roman" w:hAnsi="Times New Roman" w:eastAsia="黑体" w:cs="Times New Roman"/>
      <w:kern w:val="2"/>
      <w:sz w:val="24"/>
      <w:szCs w:val="24"/>
      <w:lang w:val="en-US" w:eastAsia="zh-CN" w:bidi="ar-SA"/>
    </w:rPr>
  </w:style>
  <w:style w:type="character" w:customStyle="1" w:styleId="56">
    <w:name w:val="表格标题 Char Char"/>
    <w:link w:val="55"/>
    <w:qFormat/>
    <w:uiPriority w:val="0"/>
    <w:rPr>
      <w:rFonts w:ascii="Times New Roman" w:hAnsi="Times New Roman" w:eastAsia="黑体" w:cs="Times New Roman"/>
      <w:sz w:val="24"/>
      <w:szCs w:val="24"/>
    </w:rPr>
  </w:style>
  <w:style w:type="character" w:customStyle="1" w:styleId="57">
    <w:name w:val="标题 字符"/>
    <w:basedOn w:val="16"/>
    <w:link w:val="15"/>
    <w:qFormat/>
    <w:uiPriority w:val="10"/>
    <w:rPr>
      <w:rFonts w:eastAsia="Times New Roman" w:asciiTheme="majorHAnsi" w:hAnsiTheme="majorHAnsi" w:cstheme="majorBidi"/>
      <w:b/>
      <w:bCs/>
      <w:sz w:val="28"/>
      <w:szCs w:val="32"/>
    </w:rPr>
  </w:style>
  <w:style w:type="paragraph" w:customStyle="1" w:styleId="58">
    <w:name w:val="RH表正文"/>
    <w:basedOn w:val="1"/>
    <w:qFormat/>
    <w:uiPriority w:val="0"/>
    <w:pPr>
      <w:spacing w:line="240" w:lineRule="exact"/>
      <w:jc w:val="center"/>
    </w:pPr>
    <w:rPr>
      <w:rFonts w:ascii="Times New Roman" w:hAnsi="Times New Roman" w:eastAsia="宋体" w:cs="Times New Roman"/>
      <w:color w:val="000000"/>
      <w:szCs w:val="21"/>
    </w:rPr>
  </w:style>
  <w:style w:type="paragraph" w:customStyle="1" w:styleId="59">
    <w:name w:val="+正文"/>
    <w:basedOn w:val="1"/>
    <w:qFormat/>
    <w:uiPriority w:val="0"/>
    <w:pPr>
      <w:spacing w:line="360" w:lineRule="auto"/>
      <w:ind w:firstLine="200" w:firstLineChars="200"/>
    </w:pPr>
    <w:rPr>
      <w:rFonts w:ascii="Times New Roman" w:hAnsi="Times New Roman" w:eastAsia="宋体" w:cs="Times New Roman"/>
      <w:kern w:val="0"/>
      <w:sz w:val="24"/>
      <w:szCs w:val="28"/>
      <w:lang w:val="zh-CN"/>
    </w:rPr>
  </w:style>
  <w:style w:type="paragraph" w:customStyle="1" w:styleId="60">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61">
    <w:name w:val="RH正文"/>
    <w:link w:val="62"/>
    <w:qFormat/>
    <w:uiPriority w:val="0"/>
    <w:pPr>
      <w:spacing w:line="480" w:lineRule="exact"/>
      <w:ind w:firstLine="200" w:firstLineChars="200"/>
      <w:jc w:val="both"/>
    </w:pPr>
    <w:rPr>
      <w:rFonts w:ascii="Times New Roman" w:hAnsi="Times New Roman" w:eastAsia="宋体" w:cs="Times New Roman"/>
      <w:color w:val="000000"/>
      <w:kern w:val="2"/>
      <w:sz w:val="24"/>
      <w:szCs w:val="24"/>
      <w:lang w:val="en-US" w:eastAsia="zh-CN" w:bidi="ar-SA"/>
    </w:rPr>
  </w:style>
  <w:style w:type="character" w:customStyle="1" w:styleId="62">
    <w:name w:val="RH正文 字符"/>
    <w:basedOn w:val="16"/>
    <w:link w:val="61"/>
    <w:qFormat/>
    <w:uiPriority w:val="0"/>
    <w:rPr>
      <w:rFonts w:ascii="Times New Roman" w:hAnsi="Times New Roman" w:eastAsia="宋体" w:cs="Times New Roman"/>
      <w:color w:val="000000"/>
      <w:sz w:val="24"/>
      <w:szCs w:val="24"/>
    </w:rPr>
  </w:style>
  <w:style w:type="character" w:customStyle="1" w:styleId="63">
    <w:name w:val="RH-2表标题 Char"/>
    <w:qFormat/>
    <w:uiPriority w:val="0"/>
    <w:rPr>
      <w:rFonts w:ascii="Times New Roman" w:hAnsi="Times New Roman" w:eastAsia="黑体" w:cs="Times New Roman"/>
      <w:color w:val="000000"/>
      <w:kern w:val="0"/>
      <w:sz w:val="24"/>
      <w:szCs w:val="24"/>
    </w:rPr>
  </w:style>
  <w:style w:type="character" w:customStyle="1" w:styleId="64">
    <w:name w:val="日期 字符"/>
    <w:basedOn w:val="16"/>
    <w:link w:val="9"/>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image" Target="media/image11.emf"/><Relationship Id="rId22" Type="http://schemas.openxmlformats.org/officeDocument/2006/relationships/image" Target="media/image10.emf"/><Relationship Id="rId21" Type="http://schemas.openxmlformats.org/officeDocument/2006/relationships/oleObject" Target="embeddings/oleObject7.bin"/><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6.bin"/><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42"/>
    <customShpInfo spid="_x0000_s104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EB138-F12D-4D25-9A8C-AE3475794950}">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14234</Words>
  <Characters>81137</Characters>
  <Lines>676</Lines>
  <Paragraphs>190</Paragraphs>
  <TotalTime>75</TotalTime>
  <ScaleCrop>false</ScaleCrop>
  <LinksUpToDate>false</LinksUpToDate>
  <CharactersWithSpaces>95181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2019-01-25T06:24:00Z</dcterms:created>
  <dc:creator>DF</dc:creator>
  <cp:lastModifiedBy>Administrator</cp:lastModifiedBy>
  <cp:lastPrinted>2019-05-05T10:41:00Z</cp:lastPrinted>
  <dcterms:modified xsi:type="dcterms:W3CDTF">2019-05-14T07:15:19Z</dcterms:modified>
  <cp:revision>1180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